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649280474"/>
        <w:docPartObj>
          <w:docPartGallery w:val="Cover Pages"/>
          <w:docPartUnique/>
        </w:docPartObj>
      </w:sdtPr>
      <w:sdtEndPr>
        <w:rPr>
          <w:b w:val="0"/>
          <w:bCs w:val="0"/>
        </w:rPr>
      </w:sdtEndPr>
      <w:sdtContent>
        <w:p w14:paraId="7E2854BD" w14:textId="77777777" w:rsidR="003A58AB" w:rsidRPr="00FC500B" w:rsidRDefault="00F427E4" w:rsidP="009E6DB3">
          <w:r>
            <w:rPr>
              <w:noProof/>
            </w:rPr>
            <w:drawing>
              <wp:anchor distT="0" distB="0" distL="114300" distR="114300" simplePos="0" relativeHeight="251658241" behindDoc="0" locked="1" layoutInCell="1" allowOverlap="1" wp14:anchorId="4DBBB7AD" wp14:editId="5D9AFA3A">
                <wp:simplePos x="0" y="0"/>
                <wp:positionH relativeFrom="column">
                  <wp:posOffset>-49530</wp:posOffset>
                </wp:positionH>
                <wp:positionV relativeFrom="page">
                  <wp:posOffset>376555</wp:posOffset>
                </wp:positionV>
                <wp:extent cx="3340800" cy="1105200"/>
                <wp:effectExtent l="0" t="0" r="0" b="0"/>
                <wp:wrapNone/>
                <wp:docPr id="1592260426" name="Picture 1" descr="Tourism Research Australia &#10;Austrade&#10;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60426" name="Picture 1" descr="Tourism Research Australia &#10;Austrade&#10;Australian government logo"/>
                        <pic:cNvPicPr/>
                      </pic:nvPicPr>
                      <pic:blipFill>
                        <a:blip r:embed="rId11"/>
                        <a:stretch>
                          <a:fillRect/>
                        </a:stretch>
                      </pic:blipFill>
                      <pic:spPr>
                        <a:xfrm>
                          <a:off x="0" y="0"/>
                          <a:ext cx="3340800" cy="1105200"/>
                        </a:xfrm>
                        <a:prstGeom prst="rect">
                          <a:avLst/>
                        </a:prstGeom>
                      </pic:spPr>
                    </pic:pic>
                  </a:graphicData>
                </a:graphic>
                <wp14:sizeRelH relativeFrom="margin">
                  <wp14:pctWidth>0</wp14:pctWidth>
                </wp14:sizeRelH>
                <wp14:sizeRelV relativeFrom="margin">
                  <wp14:pctHeight>0</wp14:pctHeight>
                </wp14:sizeRelV>
              </wp:anchor>
            </w:drawing>
          </w:r>
          <w:r w:rsidR="00DC23E6">
            <w:rPr>
              <w:noProof/>
            </w:rPr>
            <w:drawing>
              <wp:anchor distT="0" distB="0" distL="114300" distR="114300" simplePos="0" relativeHeight="251658240" behindDoc="0" locked="0" layoutInCell="1" allowOverlap="1" wp14:anchorId="64B6A539" wp14:editId="4DED6D13">
                <wp:simplePos x="0" y="0"/>
                <wp:positionH relativeFrom="column">
                  <wp:posOffset>-521373</wp:posOffset>
                </wp:positionH>
                <wp:positionV relativeFrom="paragraph">
                  <wp:posOffset>-1088750</wp:posOffset>
                </wp:positionV>
                <wp:extent cx="7110095" cy="1569492"/>
                <wp:effectExtent l="0" t="0" r="0" b="0"/>
                <wp:wrapNone/>
                <wp:docPr id="633941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1493" name="Picture 1">
                          <a:extLst>
                            <a:ext uri="{C183D7F6-B498-43B3-948B-1728B52AA6E4}">
                              <adec:decorative xmlns:adec="http://schemas.microsoft.com/office/drawing/2017/decorative" val="1"/>
                            </a:ext>
                          </a:extLst>
                        </pic:cNvPr>
                        <pic:cNvPicPr>
                          <a:picLocks noChangeAspect="1"/>
                        </pic:cNvPicPr>
                      </pic:nvPicPr>
                      <pic:blipFill rotWithShape="1">
                        <a:blip r:embed="rId12"/>
                        <a:srcRect r="5264"/>
                        <a:stretch/>
                      </pic:blipFill>
                      <pic:spPr bwMode="auto">
                        <a:xfrm>
                          <a:off x="0" y="0"/>
                          <a:ext cx="7110095" cy="156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0E4D8" w14:textId="77777777" w:rsidR="00501469" w:rsidRDefault="00501469"/>
        <w:p w14:paraId="7D6804E3" w14:textId="77777777" w:rsidR="00501469" w:rsidRDefault="00501469"/>
        <w:p w14:paraId="1A90712D" w14:textId="77777777" w:rsidR="00501469" w:rsidRDefault="00501469"/>
        <w:p w14:paraId="325296CD" w14:textId="77777777" w:rsidR="00501469" w:rsidRDefault="00501469"/>
        <w:p w14:paraId="7A11C2CE" w14:textId="77777777" w:rsidR="00247340" w:rsidRDefault="00247340" w:rsidP="00247340">
          <w:pPr>
            <w:pStyle w:val="Heading1"/>
          </w:pPr>
          <w:bookmarkStart w:id="0" w:name="_Toc200703608"/>
          <w:bookmarkStart w:id="1" w:name="_Toc199335642"/>
          <w:bookmarkStart w:id="2" w:name="_Toc199336871"/>
          <w:r>
            <w:t>Australia’s visitor economy in 2024</w:t>
          </w:r>
          <w:bookmarkEnd w:id="0"/>
        </w:p>
        <w:p w14:paraId="25700CF1" w14:textId="3058A136" w:rsidR="003E38E3" w:rsidRPr="00C279D9" w:rsidRDefault="00247340" w:rsidP="00C27BF9">
          <w:pPr>
            <w:pStyle w:val="Heading1"/>
            <w:rPr>
              <w:rStyle w:val="Heading1Char"/>
              <w:bCs/>
            </w:rPr>
          </w:pPr>
          <w:bookmarkStart w:id="3" w:name="_Toc200703609"/>
          <w:r>
            <w:t>A</w:t>
          </w:r>
          <w:r w:rsidR="00F11CDE">
            <w:t>nnual benchmark report</w:t>
          </w:r>
          <w:bookmarkEnd w:id="1"/>
          <w:bookmarkEnd w:id="2"/>
          <w:bookmarkEnd w:id="3"/>
        </w:p>
        <w:p w14:paraId="546B1E9D" w14:textId="51E46BB6" w:rsidR="00374A9F" w:rsidRPr="008C288E" w:rsidRDefault="003C0CC6" w:rsidP="003C0CC6">
          <w:pPr>
            <w:pStyle w:val="Heading2"/>
            <w:rPr>
              <w:i/>
              <w:iCs/>
            </w:rPr>
          </w:pPr>
          <w:bookmarkStart w:id="4" w:name="_Toc200703610"/>
          <w:r w:rsidRPr="008C288E">
            <w:rPr>
              <w:i/>
              <w:iCs/>
            </w:rPr>
            <w:t>Trends and characteristics of Australia's travel and tourism sector</w:t>
          </w:r>
          <w:bookmarkEnd w:id="4"/>
        </w:p>
        <w:p w14:paraId="1CE2F12E" w14:textId="77777777" w:rsidR="00374A9F" w:rsidRDefault="00374A9F" w:rsidP="00F82056"/>
        <w:p w14:paraId="636B4DC5" w14:textId="77777777" w:rsidR="00374A9F" w:rsidRDefault="00374A9F" w:rsidP="00F82056"/>
        <w:p w14:paraId="148A65AA" w14:textId="77777777" w:rsidR="00374A9F" w:rsidRDefault="00374A9F" w:rsidP="00F82056"/>
        <w:p w14:paraId="4BA2CC8B" w14:textId="77777777" w:rsidR="00374A9F" w:rsidRDefault="00374A9F" w:rsidP="00F82056"/>
        <w:p w14:paraId="68444792" w14:textId="1C6AE368" w:rsidR="00F82056" w:rsidRDefault="00F82056" w:rsidP="00F82056">
          <w:r>
            <w:t xml:space="preserve">Tourism Research Australia </w:t>
          </w:r>
        </w:p>
        <w:p w14:paraId="1E7AABF2" w14:textId="77777777" w:rsidR="00F82056" w:rsidRDefault="00F82056" w:rsidP="00F82056">
          <w:r>
            <w:t xml:space="preserve">Australian Trade and Investment Commission (Austrade) </w:t>
          </w:r>
        </w:p>
        <w:p w14:paraId="632318B6" w14:textId="77777777" w:rsidR="00F82056" w:rsidRDefault="00F82056" w:rsidP="00F82056">
          <w:r>
            <w:t xml:space="preserve">Email: </w:t>
          </w:r>
          <w:hyperlink r:id="rId13" w:history="1">
            <w:r>
              <w:rPr>
                <w:rStyle w:val="Hyperlink"/>
              </w:rPr>
              <w:t>tourism.research@tra.gov.au</w:t>
            </w:r>
          </w:hyperlink>
          <w:r>
            <w:t xml:space="preserve"> </w:t>
          </w:r>
        </w:p>
        <w:p w14:paraId="5477E7FD" w14:textId="77777777" w:rsidR="00F82056" w:rsidRDefault="00F82056" w:rsidP="00F82056">
          <w:r>
            <w:t xml:space="preserve">Web: </w:t>
          </w:r>
          <w:hyperlink r:id="rId14" w:history="1">
            <w:r>
              <w:rPr>
                <w:rStyle w:val="Hyperlink"/>
              </w:rPr>
              <w:t>www.tra.gov.au</w:t>
            </w:r>
          </w:hyperlink>
          <w:r>
            <w:t xml:space="preserve"> </w:t>
          </w:r>
        </w:p>
        <w:p w14:paraId="0FB7796D" w14:textId="5FA301E2" w:rsidR="00374A9F" w:rsidRDefault="00F82056" w:rsidP="00F82056">
          <w:r>
            <w:t xml:space="preserve">Publication date: </w:t>
          </w:r>
          <w:r w:rsidR="00F11CDE">
            <w:t>17</w:t>
          </w:r>
          <w:r>
            <w:t xml:space="preserve"> June 2025</w:t>
          </w:r>
        </w:p>
        <w:p w14:paraId="54A0043B" w14:textId="77777777" w:rsidR="00374A9F" w:rsidRDefault="00374A9F" w:rsidP="00F82056"/>
        <w:p w14:paraId="01DDCF7A" w14:textId="77777777" w:rsidR="00374A9F" w:rsidRDefault="00374A9F" w:rsidP="00374A9F">
          <w:pPr>
            <w:spacing w:line="240" w:lineRule="auto"/>
            <w:rPr>
              <w:sz w:val="16"/>
              <w:szCs w:val="16"/>
            </w:rPr>
          </w:pPr>
        </w:p>
        <w:p w14:paraId="396F70DC" w14:textId="77777777" w:rsidR="00374A9F" w:rsidRDefault="00374A9F" w:rsidP="00374A9F">
          <w:pPr>
            <w:spacing w:line="240" w:lineRule="auto"/>
            <w:rPr>
              <w:sz w:val="16"/>
              <w:szCs w:val="16"/>
            </w:rPr>
          </w:pPr>
        </w:p>
        <w:p w14:paraId="37069BE0" w14:textId="77777777" w:rsidR="00374A9F" w:rsidRDefault="00374A9F" w:rsidP="00374A9F">
          <w:pPr>
            <w:spacing w:line="240" w:lineRule="auto"/>
            <w:rPr>
              <w:sz w:val="16"/>
              <w:szCs w:val="16"/>
            </w:rPr>
          </w:pPr>
        </w:p>
        <w:p w14:paraId="19CF316A" w14:textId="5F88D1F5" w:rsidR="00374A9F" w:rsidRDefault="00374A9F" w:rsidP="00374A9F">
          <w:pPr>
            <w:spacing w:line="240" w:lineRule="auto"/>
            <w:rPr>
              <w:sz w:val="16"/>
              <w:szCs w:val="16"/>
            </w:rPr>
          </w:pPr>
          <w:r>
            <w:rPr>
              <w:sz w:val="16"/>
              <w:szCs w:val="16"/>
            </w:rPr>
            <w:t xml:space="preserve">This work should be attributed as </w:t>
          </w:r>
          <w:r>
            <w:rPr>
              <w:i/>
              <w:iCs/>
              <w:sz w:val="16"/>
              <w:szCs w:val="16"/>
            </w:rPr>
            <w:t xml:space="preserve">Australia’s </w:t>
          </w:r>
          <w:r w:rsidR="008F5087">
            <w:rPr>
              <w:i/>
              <w:iCs/>
              <w:sz w:val="16"/>
              <w:szCs w:val="16"/>
            </w:rPr>
            <w:t xml:space="preserve">visitor economy </w:t>
          </w:r>
          <w:r>
            <w:rPr>
              <w:i/>
              <w:iCs/>
              <w:sz w:val="16"/>
              <w:szCs w:val="16"/>
            </w:rPr>
            <w:t>in 2024</w:t>
          </w:r>
          <w:r w:rsidR="00E31B99">
            <w:rPr>
              <w:i/>
              <w:iCs/>
              <w:sz w:val="16"/>
              <w:szCs w:val="16"/>
            </w:rPr>
            <w:t>:</w:t>
          </w:r>
          <w:r w:rsidR="00E31B99" w:rsidRPr="00E31B99">
            <w:rPr>
              <w:i/>
              <w:iCs/>
              <w:sz w:val="16"/>
              <w:szCs w:val="16"/>
            </w:rPr>
            <w:t xml:space="preserve"> </w:t>
          </w:r>
          <w:r w:rsidR="00E31B99">
            <w:rPr>
              <w:i/>
              <w:iCs/>
              <w:sz w:val="16"/>
              <w:szCs w:val="16"/>
            </w:rPr>
            <w:t>Annual benchmark report</w:t>
          </w:r>
          <w:r>
            <w:rPr>
              <w:sz w:val="16"/>
              <w:szCs w:val="16"/>
            </w:rPr>
            <w:t xml:space="preserve">, Tourism Research Australia, Austrade, Canberra. </w:t>
          </w:r>
        </w:p>
        <w:p w14:paraId="3CA76B27" w14:textId="0D077241" w:rsidR="00374A9F" w:rsidRPr="00E31B99" w:rsidRDefault="00374A9F" w:rsidP="00374A9F">
          <w:pPr>
            <w:pStyle w:val="Default"/>
            <w:rPr>
              <w:sz w:val="12"/>
              <w:szCs w:val="12"/>
            </w:rPr>
          </w:pPr>
          <w:r>
            <w:rPr>
              <w:sz w:val="16"/>
              <w:szCs w:val="16"/>
            </w:rPr>
            <w:t xml:space="preserve">This report is available at </w:t>
          </w:r>
          <w:hyperlink r:id="rId15" w:history="1">
            <w:r w:rsidR="00E31B99" w:rsidRPr="00E31B99">
              <w:rPr>
                <w:rStyle w:val="Hyperlink"/>
                <w:sz w:val="16"/>
                <w:szCs w:val="16"/>
              </w:rPr>
              <w:t>https://www.tra.gov.au/en/economic-analysis/annual-benchmark-report</w:t>
            </w:r>
          </w:hyperlink>
        </w:p>
        <w:p w14:paraId="7DC6811E" w14:textId="77777777" w:rsidR="00374A9F" w:rsidRDefault="00374A9F" w:rsidP="00374A9F">
          <w:pPr>
            <w:spacing w:line="240" w:lineRule="auto"/>
            <w:rPr>
              <w:sz w:val="16"/>
              <w:szCs w:val="16"/>
            </w:rPr>
          </w:pPr>
          <w:r>
            <w:rPr>
              <w:sz w:val="16"/>
              <w:szCs w:val="16"/>
            </w:rPr>
            <w:t xml:space="preserve">Further enquiries are welcome at </w:t>
          </w:r>
          <w:hyperlink r:id="rId16" w:history="1">
            <w:r>
              <w:rPr>
                <w:rStyle w:val="Hyperlink"/>
                <w:sz w:val="16"/>
                <w:szCs w:val="16"/>
              </w:rPr>
              <w:t>tourism.research@tra.gov.au</w:t>
            </w:r>
          </w:hyperlink>
          <w:r>
            <w:rPr>
              <w:sz w:val="16"/>
              <w:szCs w:val="16"/>
            </w:rPr>
            <w:t xml:space="preserve"> </w:t>
          </w:r>
        </w:p>
        <w:p w14:paraId="170BC801" w14:textId="0CB9F2B0" w:rsidR="00F82056" w:rsidRDefault="00F82056" w:rsidP="00F82056">
          <w:r>
            <w:lastRenderedPageBreak/>
            <w:t xml:space="preserve"> </w:t>
          </w:r>
        </w:p>
        <w:p w14:paraId="3BA1F40A" w14:textId="3EFBFBF5" w:rsidR="00501469" w:rsidRDefault="00CD7A34">
          <w:pPr>
            <w:spacing w:before="0" w:after="160" w:line="259" w:lineRule="auto"/>
          </w:pPr>
        </w:p>
      </w:sdtContent>
    </w:sdt>
    <w:p w14:paraId="4F1BF468" w14:textId="49F5BE13" w:rsidR="00321E47" w:rsidRDefault="00A464A4" w:rsidP="00C27BF9">
      <w:pPr>
        <w:pStyle w:val="Heading2"/>
      </w:pPr>
      <w:bookmarkStart w:id="5" w:name="_Toc199335644"/>
      <w:bookmarkStart w:id="6" w:name="_Toc199336873"/>
      <w:bookmarkStart w:id="7" w:name="_Toc200703611"/>
      <w:r>
        <w:t>Acknowledgement of Country</w:t>
      </w:r>
      <w:bookmarkEnd w:id="5"/>
      <w:bookmarkEnd w:id="6"/>
      <w:bookmarkEnd w:id="7"/>
    </w:p>
    <w:p w14:paraId="44D666AA" w14:textId="77777777" w:rsidR="00B377D5" w:rsidRDefault="00722D65" w:rsidP="00B377D5">
      <w:r w:rsidRPr="00722D65">
        <w:t>We acknowledge the Traditional Custodians of lands throughout Australia and pay our respects to their Elders past and present. We recognise the enduring connection of First Nations people to land, sea and waters, and their deep care for Country over 65,000 years. We honour the enormous contribution First Nations cultures and traditions make to the visitor experience in Australia and commit to protecting and nurturing these cultures in partnership with First Nations communities.</w:t>
      </w:r>
    </w:p>
    <w:p w14:paraId="51B7D29E" w14:textId="77777777" w:rsidR="00D23738" w:rsidRDefault="00D23738" w:rsidP="00B377D5"/>
    <w:p w14:paraId="731E87AC" w14:textId="77777777" w:rsidR="00D23738" w:rsidRDefault="00D23738" w:rsidP="00B377D5"/>
    <w:p w14:paraId="5BFCC472" w14:textId="77777777" w:rsidR="00D23738" w:rsidRDefault="00D23738" w:rsidP="00B377D5"/>
    <w:p w14:paraId="69AB77EF" w14:textId="77777777" w:rsidR="00D23738" w:rsidRDefault="00D23738" w:rsidP="00B377D5"/>
    <w:p w14:paraId="1159C515" w14:textId="77777777" w:rsidR="00D23738" w:rsidRDefault="00D23738" w:rsidP="00B377D5"/>
    <w:p w14:paraId="7749E7BF" w14:textId="77777777" w:rsidR="00D23738" w:rsidRDefault="00D23738" w:rsidP="00B377D5"/>
    <w:p w14:paraId="357161BC" w14:textId="2B0C5E73" w:rsidR="00D23738" w:rsidRDefault="00D23738" w:rsidP="00D23738">
      <w:pPr>
        <w:pStyle w:val="Pa2"/>
        <w:spacing w:after="40"/>
        <w:rPr>
          <w:rFonts w:ascii="Verdana" w:hAnsi="Verdana" w:cs="Verdana"/>
          <w:color w:val="000000"/>
          <w:sz w:val="16"/>
          <w:szCs w:val="16"/>
        </w:rPr>
      </w:pPr>
      <w:r>
        <w:rPr>
          <w:rFonts w:ascii="Verdana" w:hAnsi="Verdana" w:cs="Verdana"/>
          <w:color w:val="000000"/>
          <w:sz w:val="16"/>
          <w:szCs w:val="16"/>
        </w:rPr>
        <w:t>Copyright © Commonwealth of Australia 2025</w:t>
      </w:r>
    </w:p>
    <w:p w14:paraId="59BF2BE8" w14:textId="77777777" w:rsidR="00D23738" w:rsidRDefault="00D23738" w:rsidP="00D23738">
      <w:pPr>
        <w:pStyle w:val="Pa2"/>
        <w:spacing w:after="40"/>
        <w:rPr>
          <w:rFonts w:ascii="Verdana" w:hAnsi="Verdana" w:cs="Verdana"/>
          <w:color w:val="000000"/>
          <w:sz w:val="16"/>
          <w:szCs w:val="16"/>
        </w:rPr>
      </w:pPr>
      <w:r>
        <w:rPr>
          <w:rFonts w:ascii="Verdana" w:hAnsi="Verdana" w:cs="Verdana"/>
          <w:color w:val="000000"/>
          <w:sz w:val="16"/>
          <w:szCs w:val="16"/>
        </w:rPr>
        <w:t xml:space="preserve">The material in this document is licensed under a Creative Commons Attribution – 4.0 International licence, with the exception of: </w:t>
      </w:r>
    </w:p>
    <w:p w14:paraId="16044F7B" w14:textId="77777777" w:rsidR="00D23738" w:rsidRDefault="00D23738" w:rsidP="00086B8D">
      <w:pPr>
        <w:pStyle w:val="Default"/>
        <w:numPr>
          <w:ilvl w:val="0"/>
          <w:numId w:val="3"/>
        </w:numPr>
        <w:spacing w:after="5"/>
        <w:ind w:left="1080" w:hanging="360"/>
        <w:rPr>
          <w:sz w:val="16"/>
          <w:szCs w:val="16"/>
        </w:rPr>
      </w:pPr>
      <w:r>
        <w:rPr>
          <w:sz w:val="16"/>
          <w:szCs w:val="16"/>
        </w:rPr>
        <w:t xml:space="preserve">the Commonwealth Coat of Arms </w:t>
      </w:r>
    </w:p>
    <w:p w14:paraId="3E69E040" w14:textId="77777777" w:rsidR="00D23738" w:rsidRDefault="00D23738" w:rsidP="00086B8D">
      <w:pPr>
        <w:pStyle w:val="Default"/>
        <w:numPr>
          <w:ilvl w:val="0"/>
          <w:numId w:val="3"/>
        </w:numPr>
        <w:spacing w:after="5"/>
        <w:ind w:left="1080" w:hanging="360"/>
        <w:rPr>
          <w:sz w:val="16"/>
          <w:szCs w:val="16"/>
        </w:rPr>
      </w:pPr>
      <w:r>
        <w:rPr>
          <w:sz w:val="16"/>
          <w:szCs w:val="16"/>
        </w:rPr>
        <w:t xml:space="preserve">the Australian Trade and Investment Commission’s logo </w:t>
      </w:r>
    </w:p>
    <w:p w14:paraId="7ECCC46C" w14:textId="77777777" w:rsidR="00D23738" w:rsidRDefault="00D23738" w:rsidP="00086B8D">
      <w:pPr>
        <w:pStyle w:val="Default"/>
        <w:numPr>
          <w:ilvl w:val="0"/>
          <w:numId w:val="3"/>
        </w:numPr>
        <w:spacing w:after="5"/>
        <w:ind w:left="1080" w:hanging="360"/>
        <w:rPr>
          <w:sz w:val="16"/>
          <w:szCs w:val="16"/>
        </w:rPr>
      </w:pPr>
      <w:r>
        <w:rPr>
          <w:sz w:val="16"/>
          <w:szCs w:val="16"/>
        </w:rPr>
        <w:t xml:space="preserve">any third-party material </w:t>
      </w:r>
    </w:p>
    <w:p w14:paraId="109866E3" w14:textId="77777777" w:rsidR="00D23738" w:rsidRDefault="00D23738" w:rsidP="00086B8D">
      <w:pPr>
        <w:pStyle w:val="Default"/>
        <w:numPr>
          <w:ilvl w:val="0"/>
          <w:numId w:val="3"/>
        </w:numPr>
        <w:spacing w:after="5"/>
        <w:ind w:left="1080" w:hanging="360"/>
        <w:rPr>
          <w:sz w:val="16"/>
          <w:szCs w:val="16"/>
        </w:rPr>
      </w:pPr>
      <w:r>
        <w:rPr>
          <w:sz w:val="16"/>
          <w:szCs w:val="16"/>
        </w:rPr>
        <w:t xml:space="preserve">any material protected by a trade mark </w:t>
      </w:r>
    </w:p>
    <w:p w14:paraId="41AFCB7C" w14:textId="77777777" w:rsidR="00D23738" w:rsidRDefault="00D23738" w:rsidP="00086B8D">
      <w:pPr>
        <w:pStyle w:val="Default"/>
        <w:numPr>
          <w:ilvl w:val="0"/>
          <w:numId w:val="3"/>
        </w:numPr>
        <w:ind w:left="1080" w:hanging="360"/>
        <w:rPr>
          <w:sz w:val="16"/>
          <w:szCs w:val="16"/>
        </w:rPr>
      </w:pPr>
      <w:r>
        <w:rPr>
          <w:sz w:val="16"/>
          <w:szCs w:val="16"/>
        </w:rPr>
        <w:t>any images and photographs.</w:t>
      </w:r>
    </w:p>
    <w:p w14:paraId="101E36A8" w14:textId="77777777" w:rsidR="00D23738" w:rsidRDefault="00D23738" w:rsidP="00D23738">
      <w:pPr>
        <w:rPr>
          <w:rFonts w:cs="Verdana"/>
          <w:color w:val="000000"/>
          <w:sz w:val="16"/>
          <w:szCs w:val="16"/>
        </w:rPr>
      </w:pPr>
      <w:bookmarkStart w:id="8" w:name="_Toc89671613"/>
      <w:bookmarkStart w:id="9" w:name="_Toc95830543"/>
      <w:r>
        <w:rPr>
          <w:rFonts w:cs="Verdana"/>
          <w:color w:val="000000"/>
          <w:sz w:val="16"/>
          <w:szCs w:val="16"/>
        </w:rPr>
        <w:t>More information on this CC BY licence is set out at the creative commons website: https://creativecommons.org/licenses/by/4.0/legalcode.</w:t>
      </w:r>
      <w:bookmarkEnd w:id="8"/>
      <w:bookmarkEnd w:id="9"/>
    </w:p>
    <w:p w14:paraId="72238001" w14:textId="77777777" w:rsidR="00D23738" w:rsidRDefault="00D23738" w:rsidP="00D23738">
      <w:pPr>
        <w:pStyle w:val="Default"/>
        <w:rPr>
          <w:b/>
          <w:bCs/>
          <w:sz w:val="16"/>
          <w:szCs w:val="16"/>
        </w:rPr>
      </w:pPr>
      <w:r>
        <w:rPr>
          <w:b/>
          <w:bCs/>
          <w:sz w:val="16"/>
          <w:szCs w:val="16"/>
        </w:rPr>
        <w:t>Attribution</w:t>
      </w:r>
    </w:p>
    <w:p w14:paraId="56F29050" w14:textId="77777777" w:rsidR="00D23738" w:rsidRDefault="00D23738" w:rsidP="00D23738">
      <w:pPr>
        <w:pStyle w:val="Default"/>
        <w:rPr>
          <w:rFonts w:asciiTheme="minorHAnsi" w:hAnsiTheme="minorHAnsi" w:cs="AU Sans BETA Text Light"/>
          <w:sz w:val="16"/>
          <w:szCs w:val="16"/>
        </w:rPr>
      </w:pPr>
      <w:r>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Pr>
          <w:rFonts w:asciiTheme="minorHAnsi" w:hAnsiTheme="minorHAnsi"/>
          <w:sz w:val="16"/>
          <w:szCs w:val="16"/>
        </w:rPr>
        <w:t>:</w:t>
      </w:r>
      <w:r>
        <w:rPr>
          <w:rFonts w:asciiTheme="minorHAnsi" w:hAnsiTheme="minorHAnsi" w:cs="AU Sans BETA Text Light"/>
          <w:sz w:val="16"/>
          <w:szCs w:val="16"/>
        </w:rPr>
        <w:t xml:space="preserve"> </w:t>
      </w:r>
      <w:hyperlink r:id="rId17" w:history="1">
        <w:r>
          <w:rPr>
            <w:rStyle w:val="Hyperlink"/>
            <w:rFonts w:asciiTheme="minorHAnsi" w:hAnsiTheme="minorHAnsi" w:cs="AU Sans BETA Text Light"/>
            <w:sz w:val="16"/>
            <w:szCs w:val="16"/>
          </w:rPr>
          <w:t>advisory@austrade.gov.au</w:t>
        </w:r>
      </w:hyperlink>
      <w:r>
        <w:rPr>
          <w:rFonts w:asciiTheme="minorHAnsi" w:hAnsiTheme="minorHAnsi" w:cs="AU Sans BETA Text Light"/>
          <w:sz w:val="16"/>
          <w:szCs w:val="16"/>
        </w:rPr>
        <w:t>.</w:t>
      </w:r>
    </w:p>
    <w:p w14:paraId="329720E9" w14:textId="77777777" w:rsidR="00D23738" w:rsidRDefault="00D23738" w:rsidP="00D23738">
      <w:pPr>
        <w:pStyle w:val="Default"/>
        <w:rPr>
          <w:rFonts w:asciiTheme="minorHAnsi" w:hAnsiTheme="minorHAnsi"/>
          <w:b/>
          <w:bCs/>
          <w:sz w:val="16"/>
          <w:szCs w:val="16"/>
        </w:rPr>
      </w:pPr>
    </w:p>
    <w:p w14:paraId="6AD647EF" w14:textId="77777777" w:rsidR="00D23738" w:rsidRDefault="00D23738" w:rsidP="00D23738">
      <w:pPr>
        <w:pStyle w:val="Default"/>
        <w:rPr>
          <w:sz w:val="16"/>
          <w:szCs w:val="16"/>
        </w:rPr>
      </w:pPr>
      <w:r>
        <w:rPr>
          <w:b/>
          <w:bCs/>
          <w:sz w:val="16"/>
          <w:szCs w:val="16"/>
        </w:rPr>
        <w:t xml:space="preserve">Using the Coat of Arms </w:t>
      </w:r>
      <w:r>
        <w:rPr>
          <w:sz w:val="16"/>
          <w:szCs w:val="16"/>
        </w:rPr>
        <w:t xml:space="preserve">The terms of use for the Coat of Arms are available on the </w:t>
      </w:r>
      <w:hyperlink r:id="rId18" w:history="1">
        <w:r>
          <w:rPr>
            <w:rStyle w:val="Hyperlink"/>
            <w:sz w:val="16"/>
            <w:szCs w:val="16"/>
          </w:rPr>
          <w:t>Department of the Prime Minister and Cabinet</w:t>
        </w:r>
      </w:hyperlink>
      <w:r>
        <w:rPr>
          <w:sz w:val="16"/>
          <w:szCs w:val="16"/>
        </w:rPr>
        <w:t xml:space="preserve"> website. </w:t>
      </w:r>
    </w:p>
    <w:p w14:paraId="39928BFE" w14:textId="77777777" w:rsidR="00D23738" w:rsidRDefault="00D23738" w:rsidP="00D23738">
      <w:pPr>
        <w:pStyle w:val="Default"/>
        <w:rPr>
          <w:sz w:val="20"/>
          <w:szCs w:val="20"/>
        </w:rPr>
      </w:pPr>
    </w:p>
    <w:p w14:paraId="461165F7" w14:textId="77777777" w:rsidR="00D23738" w:rsidRDefault="00D23738" w:rsidP="00D23738">
      <w:pPr>
        <w:pStyle w:val="Pa2"/>
        <w:spacing w:after="40"/>
        <w:rPr>
          <w:rFonts w:ascii="Verdana" w:hAnsi="Verdana" w:cs="Verdana"/>
          <w:b/>
          <w:bCs/>
          <w:color w:val="000000"/>
          <w:sz w:val="16"/>
          <w:szCs w:val="16"/>
        </w:rPr>
      </w:pPr>
      <w:r>
        <w:rPr>
          <w:rFonts w:ascii="Verdana" w:hAnsi="Verdana" w:cs="Verdana"/>
          <w:b/>
          <w:bCs/>
          <w:color w:val="000000"/>
          <w:sz w:val="16"/>
          <w:szCs w:val="16"/>
        </w:rPr>
        <w:t>Disclaimer</w:t>
      </w:r>
    </w:p>
    <w:p w14:paraId="248194A4" w14:textId="77777777" w:rsidR="00D23738" w:rsidRDefault="00D23738" w:rsidP="00D23738">
      <w:pPr>
        <w:pStyle w:val="Pa2"/>
        <w:spacing w:after="40"/>
        <w:rPr>
          <w:rFonts w:ascii="Verdana" w:hAnsi="Verdana" w:cs="Verdana"/>
          <w:color w:val="000000"/>
          <w:sz w:val="16"/>
          <w:szCs w:val="16"/>
        </w:rPr>
      </w:pPr>
      <w:r>
        <w:rPr>
          <w:rFonts w:ascii="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1A301E3D" w14:textId="77777777" w:rsidR="00D23738" w:rsidRDefault="00D23738" w:rsidP="00D23738">
      <w:pPr>
        <w:pStyle w:val="Pa2"/>
        <w:spacing w:after="40"/>
        <w:rPr>
          <w:rFonts w:ascii="Verdana" w:hAnsi="Verdana" w:cs="Verdana"/>
          <w:color w:val="000000"/>
          <w:sz w:val="16"/>
          <w:szCs w:val="16"/>
        </w:rPr>
      </w:pPr>
      <w:r>
        <w:rPr>
          <w:rFonts w:ascii="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4304C8A7" w14:textId="77777777" w:rsidR="00D23738" w:rsidRDefault="00D23738" w:rsidP="00D23738">
      <w:pPr>
        <w:pStyle w:val="Default"/>
        <w:rPr>
          <w:bCs/>
          <w:sz w:val="16"/>
          <w:szCs w:val="16"/>
        </w:rPr>
      </w:pPr>
      <w:r>
        <w:rPr>
          <w:bCs/>
          <w:sz w:val="16"/>
          <w:szCs w:val="16"/>
        </w:rPr>
        <w:t>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report, and does not accept responsibility for any losses suffered in connection with any company or its activities.</w:t>
      </w:r>
    </w:p>
    <w:p w14:paraId="299274E1" w14:textId="77777777" w:rsidR="00D23738" w:rsidRDefault="00D23738" w:rsidP="00D23738">
      <w:r>
        <w:rPr>
          <w:bCs/>
        </w:rPr>
        <w:br w:type="page"/>
      </w:r>
    </w:p>
    <w:p w14:paraId="6634A08A" w14:textId="5F2F23D6" w:rsidR="001A47B0" w:rsidRDefault="001A47B0" w:rsidP="001A47B0">
      <w:pPr>
        <w:pStyle w:val="Heading2"/>
      </w:pPr>
      <w:bookmarkStart w:id="10" w:name="_Toc200703612"/>
      <w:r>
        <w:lastRenderedPageBreak/>
        <w:t>Foreword</w:t>
      </w:r>
      <w:bookmarkEnd w:id="10"/>
    </w:p>
    <w:p w14:paraId="6D21C810" w14:textId="77777777" w:rsidR="00B165DD" w:rsidRPr="00B165DD" w:rsidRDefault="00B165DD" w:rsidP="00B165DD">
      <w:r w:rsidRPr="00B165DD">
        <w:t xml:space="preserve">This annual snapshot from Tourism Research Australia (TRA) gathers a range of metrics and case studies to tell the story of the Australian tourism sector in 2024. This report details the opportunities and challenges for the visitor economy as travel trends evolve and provides a thorough assessment of industry progress. </w:t>
      </w:r>
    </w:p>
    <w:p w14:paraId="440507CC" w14:textId="77777777" w:rsidR="00B165DD" w:rsidRPr="00B165DD" w:rsidRDefault="00B165DD" w:rsidP="00B165DD">
      <w:r w:rsidRPr="00B165DD">
        <w:t xml:space="preserve">In 2024, Australians continued to prioritise travel and demand for domestic trips remained high, particularly short trips close to home. However, overall growth was muted and travellers adjusted spending patterns in light of household financial pressures. On the international side, there was continued growth in arrivals from many source markets, with key markets in our region standing out. However, the total number of short-term visitor arrivals remained lower than the previous peak, which remains a key challenge for some parts of the visitor economy. </w:t>
      </w:r>
    </w:p>
    <w:p w14:paraId="1008EBDD" w14:textId="77777777" w:rsidR="00B165DD" w:rsidRPr="00B165DD" w:rsidRDefault="00B165DD" w:rsidP="00B165DD">
      <w:r w:rsidRPr="00B165DD">
        <w:t>Importantly, the visitor economy expanded and adapted to service tourism demand in Australia in 2024, however, some supply constraints were still noticeable. The high level of government and private investment taking place in the sector will give confidence for future growth.</w:t>
      </w:r>
    </w:p>
    <w:p w14:paraId="414D2D17" w14:textId="77777777" w:rsidR="00B165DD" w:rsidRPr="00B165DD" w:rsidRDefault="00B165DD" w:rsidP="00B165DD">
      <w:r w:rsidRPr="00B165DD">
        <w:t xml:space="preserve">Actions under the THRIVE 2030 national strategy for the visitor economy assisted the sector to rebalance and have helped to establish a sustainable growth path for the visitor economy. It is exciting to see how the tourism sector continues to progress and evolve, while offering exceptional travel opportunities for all Australian and international travellers. </w:t>
      </w:r>
    </w:p>
    <w:p w14:paraId="48C7A0D9" w14:textId="77777777" w:rsidR="00B165DD" w:rsidRPr="00B165DD" w:rsidRDefault="00B165DD" w:rsidP="00B165DD">
      <w:r w:rsidRPr="00B165DD">
        <w:rPr>
          <w:b/>
          <w:bCs/>
        </w:rPr>
        <w:t xml:space="preserve">Grant Ferres </w:t>
      </w:r>
    </w:p>
    <w:p w14:paraId="61BB9950" w14:textId="0BDE0141" w:rsidR="00D1389F" w:rsidRDefault="00B165DD" w:rsidP="00B165DD">
      <w:r w:rsidRPr="00B165DD">
        <w:t>Head of Tourism Research Australia</w:t>
      </w:r>
    </w:p>
    <w:p w14:paraId="5EE2C15A" w14:textId="77777777" w:rsidR="00D1389F" w:rsidRDefault="00D1389F">
      <w:pPr>
        <w:spacing w:before="0" w:after="160" w:line="259" w:lineRule="auto"/>
      </w:pPr>
      <w:r>
        <w:br w:type="page"/>
      </w:r>
    </w:p>
    <w:sdt>
      <w:sdtPr>
        <w:rPr>
          <w:rFonts w:ascii="Verdana" w:eastAsiaTheme="minorHAnsi" w:hAnsi="Verdana" w:cstheme="minorBidi"/>
          <w:color w:val="000000" w:themeColor="text1"/>
          <w:sz w:val="20"/>
          <w:szCs w:val="20"/>
          <w:lang w:val="en-AU"/>
        </w:rPr>
        <w:id w:val="-655147883"/>
        <w:docPartObj>
          <w:docPartGallery w:val="Table of Contents"/>
          <w:docPartUnique/>
        </w:docPartObj>
      </w:sdtPr>
      <w:sdtEndPr>
        <w:rPr>
          <w:b/>
          <w:bCs/>
          <w:noProof/>
        </w:rPr>
      </w:sdtEndPr>
      <w:sdtContent>
        <w:p w14:paraId="7102B8E1" w14:textId="77777777" w:rsidR="0008568A" w:rsidRDefault="008A2704" w:rsidP="00807609">
          <w:pPr>
            <w:pStyle w:val="TOCHeading"/>
            <w:rPr>
              <w:noProof/>
            </w:rPr>
          </w:pPr>
          <w:r>
            <w:t>Contents</w:t>
          </w:r>
          <w:r>
            <w:fldChar w:fldCharType="begin"/>
          </w:r>
          <w:r>
            <w:instrText xml:space="preserve"> TOC \o "1-3" \h \z \u </w:instrText>
          </w:r>
          <w:r>
            <w:fldChar w:fldCharType="separate"/>
          </w:r>
        </w:p>
        <w:p w14:paraId="75D246E6" w14:textId="69DC3E18" w:rsidR="0008568A" w:rsidRDefault="0008568A">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3" w:history="1">
            <w:r w:rsidRPr="00A26EAB">
              <w:rPr>
                <w:rStyle w:val="Hyperlink"/>
                <w:noProof/>
              </w:rPr>
              <w:t>Visitor economy review</w:t>
            </w:r>
            <w:r>
              <w:rPr>
                <w:noProof/>
                <w:webHidden/>
              </w:rPr>
              <w:tab/>
            </w:r>
            <w:r>
              <w:rPr>
                <w:noProof/>
                <w:webHidden/>
              </w:rPr>
              <w:fldChar w:fldCharType="begin"/>
            </w:r>
            <w:r>
              <w:rPr>
                <w:noProof/>
                <w:webHidden/>
              </w:rPr>
              <w:instrText xml:space="preserve"> PAGEREF _Toc200703613 \h </w:instrText>
            </w:r>
            <w:r>
              <w:rPr>
                <w:noProof/>
                <w:webHidden/>
              </w:rPr>
            </w:r>
            <w:r>
              <w:rPr>
                <w:noProof/>
                <w:webHidden/>
              </w:rPr>
              <w:fldChar w:fldCharType="separate"/>
            </w:r>
            <w:r>
              <w:rPr>
                <w:noProof/>
                <w:webHidden/>
              </w:rPr>
              <w:t>4</w:t>
            </w:r>
            <w:r>
              <w:rPr>
                <w:noProof/>
                <w:webHidden/>
              </w:rPr>
              <w:fldChar w:fldCharType="end"/>
            </w:r>
          </w:hyperlink>
        </w:p>
        <w:p w14:paraId="1EF6CFA8" w14:textId="44EB6652"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4" w:history="1">
            <w:r w:rsidRPr="00A26EAB">
              <w:rPr>
                <w:rStyle w:val="Hyperlink"/>
                <w:noProof/>
              </w:rPr>
              <w:t>Measuring sustainable growth with TRA’s new LIVE Framework</w:t>
            </w:r>
            <w:r>
              <w:rPr>
                <w:noProof/>
                <w:webHidden/>
              </w:rPr>
              <w:tab/>
            </w:r>
            <w:r>
              <w:rPr>
                <w:noProof/>
                <w:webHidden/>
              </w:rPr>
              <w:fldChar w:fldCharType="begin"/>
            </w:r>
            <w:r>
              <w:rPr>
                <w:noProof/>
                <w:webHidden/>
              </w:rPr>
              <w:instrText xml:space="preserve"> PAGEREF _Toc200703614 \h </w:instrText>
            </w:r>
            <w:r>
              <w:rPr>
                <w:noProof/>
                <w:webHidden/>
              </w:rPr>
            </w:r>
            <w:r>
              <w:rPr>
                <w:noProof/>
                <w:webHidden/>
              </w:rPr>
              <w:fldChar w:fldCharType="separate"/>
            </w:r>
            <w:r>
              <w:rPr>
                <w:noProof/>
                <w:webHidden/>
              </w:rPr>
              <w:t>5</w:t>
            </w:r>
            <w:r>
              <w:rPr>
                <w:noProof/>
                <w:webHidden/>
              </w:rPr>
              <w:fldChar w:fldCharType="end"/>
            </w:r>
          </w:hyperlink>
        </w:p>
        <w:p w14:paraId="7D891B4C" w14:textId="05018306"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5" w:history="1">
            <w:r w:rsidRPr="00A26EAB">
              <w:rPr>
                <w:rStyle w:val="Hyperlink"/>
                <w:noProof/>
              </w:rPr>
              <w:t>THRIVE 2030 Strategy</w:t>
            </w:r>
            <w:r>
              <w:rPr>
                <w:noProof/>
                <w:webHidden/>
              </w:rPr>
              <w:tab/>
            </w:r>
            <w:r>
              <w:rPr>
                <w:noProof/>
                <w:webHidden/>
              </w:rPr>
              <w:fldChar w:fldCharType="begin"/>
            </w:r>
            <w:r>
              <w:rPr>
                <w:noProof/>
                <w:webHidden/>
              </w:rPr>
              <w:instrText xml:space="preserve"> PAGEREF _Toc200703615 \h </w:instrText>
            </w:r>
            <w:r>
              <w:rPr>
                <w:noProof/>
                <w:webHidden/>
              </w:rPr>
            </w:r>
            <w:r>
              <w:rPr>
                <w:noProof/>
                <w:webHidden/>
              </w:rPr>
              <w:fldChar w:fldCharType="separate"/>
            </w:r>
            <w:r>
              <w:rPr>
                <w:noProof/>
                <w:webHidden/>
              </w:rPr>
              <w:t>6</w:t>
            </w:r>
            <w:r>
              <w:rPr>
                <w:noProof/>
                <w:webHidden/>
              </w:rPr>
              <w:fldChar w:fldCharType="end"/>
            </w:r>
          </w:hyperlink>
        </w:p>
        <w:p w14:paraId="0FE92674" w14:textId="05AB5469" w:rsidR="0008568A" w:rsidRDefault="0008568A">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6" w:history="1">
            <w:r w:rsidRPr="00A26EAB">
              <w:rPr>
                <w:rStyle w:val="Hyperlink"/>
                <w:noProof/>
              </w:rPr>
              <w:t>Analysis of demand trends. Who travelled in 2024 and why?</w:t>
            </w:r>
            <w:r>
              <w:rPr>
                <w:noProof/>
                <w:webHidden/>
              </w:rPr>
              <w:tab/>
            </w:r>
            <w:r>
              <w:rPr>
                <w:noProof/>
                <w:webHidden/>
              </w:rPr>
              <w:fldChar w:fldCharType="begin"/>
            </w:r>
            <w:r>
              <w:rPr>
                <w:noProof/>
                <w:webHidden/>
              </w:rPr>
              <w:instrText xml:space="preserve"> PAGEREF _Toc200703616 \h </w:instrText>
            </w:r>
            <w:r>
              <w:rPr>
                <w:noProof/>
                <w:webHidden/>
              </w:rPr>
            </w:r>
            <w:r>
              <w:rPr>
                <w:noProof/>
                <w:webHidden/>
              </w:rPr>
              <w:fldChar w:fldCharType="separate"/>
            </w:r>
            <w:r>
              <w:rPr>
                <w:noProof/>
                <w:webHidden/>
              </w:rPr>
              <w:t>7</w:t>
            </w:r>
            <w:r>
              <w:rPr>
                <w:noProof/>
                <w:webHidden/>
              </w:rPr>
              <w:fldChar w:fldCharType="end"/>
            </w:r>
          </w:hyperlink>
        </w:p>
        <w:p w14:paraId="7E74DCB8" w14:textId="148AD4CC"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7" w:history="1">
            <w:r w:rsidRPr="00A26EAB">
              <w:rPr>
                <w:rStyle w:val="Hyperlink"/>
                <w:noProof/>
                <w:lang w:eastAsia="zh-CN"/>
              </w:rPr>
              <w:t>Domestic overnight trips</w:t>
            </w:r>
            <w:r>
              <w:rPr>
                <w:noProof/>
                <w:webHidden/>
              </w:rPr>
              <w:tab/>
            </w:r>
            <w:r>
              <w:rPr>
                <w:noProof/>
                <w:webHidden/>
              </w:rPr>
              <w:fldChar w:fldCharType="begin"/>
            </w:r>
            <w:r>
              <w:rPr>
                <w:noProof/>
                <w:webHidden/>
              </w:rPr>
              <w:instrText xml:space="preserve"> PAGEREF _Toc200703617 \h </w:instrText>
            </w:r>
            <w:r>
              <w:rPr>
                <w:noProof/>
                <w:webHidden/>
              </w:rPr>
            </w:r>
            <w:r>
              <w:rPr>
                <w:noProof/>
                <w:webHidden/>
              </w:rPr>
              <w:fldChar w:fldCharType="separate"/>
            </w:r>
            <w:r>
              <w:rPr>
                <w:noProof/>
                <w:webHidden/>
              </w:rPr>
              <w:t>8</w:t>
            </w:r>
            <w:r>
              <w:rPr>
                <w:noProof/>
                <w:webHidden/>
              </w:rPr>
              <w:fldChar w:fldCharType="end"/>
            </w:r>
          </w:hyperlink>
        </w:p>
        <w:p w14:paraId="644481F7" w14:textId="35AF05FF"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8" w:history="1">
            <w:r w:rsidRPr="00A26EAB">
              <w:rPr>
                <w:rStyle w:val="Hyperlink"/>
                <w:noProof/>
                <w:lang w:eastAsia="zh-CN"/>
              </w:rPr>
              <w:t>International inbound trips</w:t>
            </w:r>
            <w:r>
              <w:rPr>
                <w:noProof/>
                <w:webHidden/>
              </w:rPr>
              <w:tab/>
            </w:r>
            <w:r>
              <w:rPr>
                <w:noProof/>
                <w:webHidden/>
              </w:rPr>
              <w:fldChar w:fldCharType="begin"/>
            </w:r>
            <w:r>
              <w:rPr>
                <w:noProof/>
                <w:webHidden/>
              </w:rPr>
              <w:instrText xml:space="preserve"> PAGEREF _Toc200703618 \h </w:instrText>
            </w:r>
            <w:r>
              <w:rPr>
                <w:noProof/>
                <w:webHidden/>
              </w:rPr>
            </w:r>
            <w:r>
              <w:rPr>
                <w:noProof/>
                <w:webHidden/>
              </w:rPr>
              <w:fldChar w:fldCharType="separate"/>
            </w:r>
            <w:r>
              <w:rPr>
                <w:noProof/>
                <w:webHidden/>
              </w:rPr>
              <w:t>15</w:t>
            </w:r>
            <w:r>
              <w:rPr>
                <w:noProof/>
                <w:webHidden/>
              </w:rPr>
              <w:fldChar w:fldCharType="end"/>
            </w:r>
          </w:hyperlink>
        </w:p>
        <w:p w14:paraId="333ADC23" w14:textId="6B3E8852"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19" w:history="1">
            <w:r w:rsidRPr="00A26EAB">
              <w:rPr>
                <w:rStyle w:val="Hyperlink"/>
                <w:noProof/>
              </w:rPr>
              <w:t>Global and outbound travel</w:t>
            </w:r>
            <w:r>
              <w:rPr>
                <w:noProof/>
                <w:webHidden/>
              </w:rPr>
              <w:tab/>
            </w:r>
            <w:r>
              <w:rPr>
                <w:noProof/>
                <w:webHidden/>
              </w:rPr>
              <w:fldChar w:fldCharType="begin"/>
            </w:r>
            <w:r>
              <w:rPr>
                <w:noProof/>
                <w:webHidden/>
              </w:rPr>
              <w:instrText xml:space="preserve"> PAGEREF _Toc200703619 \h </w:instrText>
            </w:r>
            <w:r>
              <w:rPr>
                <w:noProof/>
                <w:webHidden/>
              </w:rPr>
            </w:r>
            <w:r>
              <w:rPr>
                <w:noProof/>
                <w:webHidden/>
              </w:rPr>
              <w:fldChar w:fldCharType="separate"/>
            </w:r>
            <w:r>
              <w:rPr>
                <w:noProof/>
                <w:webHidden/>
              </w:rPr>
              <w:t>23</w:t>
            </w:r>
            <w:r>
              <w:rPr>
                <w:noProof/>
                <w:webHidden/>
              </w:rPr>
              <w:fldChar w:fldCharType="end"/>
            </w:r>
          </w:hyperlink>
        </w:p>
        <w:p w14:paraId="741C0AC5" w14:textId="1D31517B" w:rsidR="0008568A" w:rsidRDefault="0008568A">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0" w:history="1">
            <w:r w:rsidRPr="00A26EAB">
              <w:rPr>
                <w:rStyle w:val="Hyperlink"/>
                <w:noProof/>
              </w:rPr>
              <w:t>Industry, operators and investment</w:t>
            </w:r>
            <w:r>
              <w:rPr>
                <w:noProof/>
                <w:webHidden/>
              </w:rPr>
              <w:tab/>
            </w:r>
            <w:r>
              <w:rPr>
                <w:noProof/>
                <w:webHidden/>
              </w:rPr>
              <w:fldChar w:fldCharType="begin"/>
            </w:r>
            <w:r>
              <w:rPr>
                <w:noProof/>
                <w:webHidden/>
              </w:rPr>
              <w:instrText xml:space="preserve"> PAGEREF _Toc200703620 \h </w:instrText>
            </w:r>
            <w:r>
              <w:rPr>
                <w:noProof/>
                <w:webHidden/>
              </w:rPr>
            </w:r>
            <w:r>
              <w:rPr>
                <w:noProof/>
                <w:webHidden/>
              </w:rPr>
              <w:fldChar w:fldCharType="separate"/>
            </w:r>
            <w:r>
              <w:rPr>
                <w:noProof/>
                <w:webHidden/>
              </w:rPr>
              <w:t>27</w:t>
            </w:r>
            <w:r>
              <w:rPr>
                <w:noProof/>
                <w:webHidden/>
              </w:rPr>
              <w:fldChar w:fldCharType="end"/>
            </w:r>
          </w:hyperlink>
        </w:p>
        <w:p w14:paraId="72D62285" w14:textId="137ECB9C"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1" w:history="1">
            <w:r w:rsidRPr="00A26EAB">
              <w:rPr>
                <w:rStyle w:val="Hyperlink"/>
                <w:noProof/>
              </w:rPr>
              <w:t>Summary of visitor economy supply and capacity use</w:t>
            </w:r>
            <w:r>
              <w:rPr>
                <w:noProof/>
                <w:webHidden/>
              </w:rPr>
              <w:tab/>
            </w:r>
            <w:r>
              <w:rPr>
                <w:noProof/>
                <w:webHidden/>
              </w:rPr>
              <w:fldChar w:fldCharType="begin"/>
            </w:r>
            <w:r>
              <w:rPr>
                <w:noProof/>
                <w:webHidden/>
              </w:rPr>
              <w:instrText xml:space="preserve"> PAGEREF _Toc200703621 \h </w:instrText>
            </w:r>
            <w:r>
              <w:rPr>
                <w:noProof/>
                <w:webHidden/>
              </w:rPr>
            </w:r>
            <w:r>
              <w:rPr>
                <w:noProof/>
                <w:webHidden/>
              </w:rPr>
              <w:fldChar w:fldCharType="separate"/>
            </w:r>
            <w:r>
              <w:rPr>
                <w:noProof/>
                <w:webHidden/>
              </w:rPr>
              <w:t>27</w:t>
            </w:r>
            <w:r>
              <w:rPr>
                <w:noProof/>
                <w:webHidden/>
              </w:rPr>
              <w:fldChar w:fldCharType="end"/>
            </w:r>
          </w:hyperlink>
        </w:p>
        <w:p w14:paraId="1BF74B5E" w14:textId="01FF9357"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2" w:history="1">
            <w:r w:rsidRPr="00A26EAB">
              <w:rPr>
                <w:rStyle w:val="Hyperlink"/>
                <w:noProof/>
              </w:rPr>
              <w:t>Accommodation in Australia</w:t>
            </w:r>
            <w:r>
              <w:rPr>
                <w:noProof/>
                <w:webHidden/>
              </w:rPr>
              <w:tab/>
            </w:r>
            <w:r>
              <w:rPr>
                <w:noProof/>
                <w:webHidden/>
              </w:rPr>
              <w:fldChar w:fldCharType="begin"/>
            </w:r>
            <w:r>
              <w:rPr>
                <w:noProof/>
                <w:webHidden/>
              </w:rPr>
              <w:instrText xml:space="preserve"> PAGEREF _Toc200703622 \h </w:instrText>
            </w:r>
            <w:r>
              <w:rPr>
                <w:noProof/>
                <w:webHidden/>
              </w:rPr>
            </w:r>
            <w:r>
              <w:rPr>
                <w:noProof/>
                <w:webHidden/>
              </w:rPr>
              <w:fldChar w:fldCharType="separate"/>
            </w:r>
            <w:r>
              <w:rPr>
                <w:noProof/>
                <w:webHidden/>
              </w:rPr>
              <w:t>28</w:t>
            </w:r>
            <w:r>
              <w:rPr>
                <w:noProof/>
                <w:webHidden/>
              </w:rPr>
              <w:fldChar w:fldCharType="end"/>
            </w:r>
          </w:hyperlink>
        </w:p>
        <w:p w14:paraId="79132325" w14:textId="3A5B26C8"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3" w:history="1">
            <w:r w:rsidRPr="00A26EAB">
              <w:rPr>
                <w:rStyle w:val="Hyperlink"/>
                <w:noProof/>
              </w:rPr>
              <w:t>Aviation and connectivity</w:t>
            </w:r>
            <w:r>
              <w:rPr>
                <w:noProof/>
                <w:webHidden/>
              </w:rPr>
              <w:tab/>
            </w:r>
            <w:r>
              <w:rPr>
                <w:noProof/>
                <w:webHidden/>
              </w:rPr>
              <w:fldChar w:fldCharType="begin"/>
            </w:r>
            <w:r>
              <w:rPr>
                <w:noProof/>
                <w:webHidden/>
              </w:rPr>
              <w:instrText xml:space="preserve"> PAGEREF _Toc200703623 \h </w:instrText>
            </w:r>
            <w:r>
              <w:rPr>
                <w:noProof/>
                <w:webHidden/>
              </w:rPr>
            </w:r>
            <w:r>
              <w:rPr>
                <w:noProof/>
                <w:webHidden/>
              </w:rPr>
              <w:fldChar w:fldCharType="separate"/>
            </w:r>
            <w:r>
              <w:rPr>
                <w:noProof/>
                <w:webHidden/>
              </w:rPr>
              <w:t>30</w:t>
            </w:r>
            <w:r>
              <w:rPr>
                <w:noProof/>
                <w:webHidden/>
              </w:rPr>
              <w:fldChar w:fldCharType="end"/>
            </w:r>
          </w:hyperlink>
        </w:p>
        <w:p w14:paraId="6E384603" w14:textId="00E81CE4"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4" w:history="1">
            <w:r w:rsidRPr="00A26EAB">
              <w:rPr>
                <w:rStyle w:val="Hyperlink"/>
                <w:noProof/>
              </w:rPr>
              <w:t>Businesses and jobs</w:t>
            </w:r>
            <w:r>
              <w:rPr>
                <w:noProof/>
                <w:webHidden/>
              </w:rPr>
              <w:tab/>
            </w:r>
            <w:r>
              <w:rPr>
                <w:noProof/>
                <w:webHidden/>
              </w:rPr>
              <w:fldChar w:fldCharType="begin"/>
            </w:r>
            <w:r>
              <w:rPr>
                <w:noProof/>
                <w:webHidden/>
              </w:rPr>
              <w:instrText xml:space="preserve"> PAGEREF _Toc200703624 \h </w:instrText>
            </w:r>
            <w:r>
              <w:rPr>
                <w:noProof/>
                <w:webHidden/>
              </w:rPr>
            </w:r>
            <w:r>
              <w:rPr>
                <w:noProof/>
                <w:webHidden/>
              </w:rPr>
              <w:fldChar w:fldCharType="separate"/>
            </w:r>
            <w:r>
              <w:rPr>
                <w:noProof/>
                <w:webHidden/>
              </w:rPr>
              <w:t>33</w:t>
            </w:r>
            <w:r>
              <w:rPr>
                <w:noProof/>
                <w:webHidden/>
              </w:rPr>
              <w:fldChar w:fldCharType="end"/>
            </w:r>
          </w:hyperlink>
        </w:p>
        <w:p w14:paraId="7FE2DFCA" w14:textId="70DC1704"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5" w:history="1">
            <w:r w:rsidRPr="00A26EAB">
              <w:rPr>
                <w:rStyle w:val="Hyperlink"/>
                <w:noProof/>
              </w:rPr>
              <w:t>Tourism jobs</w:t>
            </w:r>
            <w:r>
              <w:rPr>
                <w:noProof/>
                <w:webHidden/>
              </w:rPr>
              <w:tab/>
            </w:r>
            <w:r>
              <w:rPr>
                <w:noProof/>
                <w:webHidden/>
              </w:rPr>
              <w:fldChar w:fldCharType="begin"/>
            </w:r>
            <w:r>
              <w:rPr>
                <w:noProof/>
                <w:webHidden/>
              </w:rPr>
              <w:instrText xml:space="preserve"> PAGEREF _Toc200703625 \h </w:instrText>
            </w:r>
            <w:r>
              <w:rPr>
                <w:noProof/>
                <w:webHidden/>
              </w:rPr>
            </w:r>
            <w:r>
              <w:rPr>
                <w:noProof/>
                <w:webHidden/>
              </w:rPr>
              <w:fldChar w:fldCharType="separate"/>
            </w:r>
            <w:r>
              <w:rPr>
                <w:noProof/>
                <w:webHidden/>
              </w:rPr>
              <w:t>35</w:t>
            </w:r>
            <w:r>
              <w:rPr>
                <w:noProof/>
                <w:webHidden/>
              </w:rPr>
              <w:fldChar w:fldCharType="end"/>
            </w:r>
          </w:hyperlink>
        </w:p>
        <w:p w14:paraId="3DB04E94" w14:textId="04064480"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6" w:history="1">
            <w:r w:rsidRPr="00A26EAB">
              <w:rPr>
                <w:rStyle w:val="Hyperlink"/>
                <w:noProof/>
              </w:rPr>
              <w:t>Investment</w:t>
            </w:r>
            <w:r>
              <w:rPr>
                <w:noProof/>
                <w:webHidden/>
              </w:rPr>
              <w:tab/>
            </w:r>
            <w:r>
              <w:rPr>
                <w:noProof/>
                <w:webHidden/>
              </w:rPr>
              <w:fldChar w:fldCharType="begin"/>
            </w:r>
            <w:r>
              <w:rPr>
                <w:noProof/>
                <w:webHidden/>
              </w:rPr>
              <w:instrText xml:space="preserve"> PAGEREF _Toc200703626 \h </w:instrText>
            </w:r>
            <w:r>
              <w:rPr>
                <w:noProof/>
                <w:webHidden/>
              </w:rPr>
            </w:r>
            <w:r>
              <w:rPr>
                <w:noProof/>
                <w:webHidden/>
              </w:rPr>
              <w:fldChar w:fldCharType="separate"/>
            </w:r>
            <w:r>
              <w:rPr>
                <w:noProof/>
                <w:webHidden/>
              </w:rPr>
              <w:t>37</w:t>
            </w:r>
            <w:r>
              <w:rPr>
                <w:noProof/>
                <w:webHidden/>
              </w:rPr>
              <w:fldChar w:fldCharType="end"/>
            </w:r>
          </w:hyperlink>
        </w:p>
        <w:p w14:paraId="2FC369E5" w14:textId="0EF79A81" w:rsidR="0008568A" w:rsidRDefault="0008568A">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7" w:history="1">
            <w:r w:rsidRPr="00A26EAB">
              <w:rPr>
                <w:rStyle w:val="Hyperlink"/>
                <w:noProof/>
              </w:rPr>
              <w:t>Looking forward</w:t>
            </w:r>
            <w:r>
              <w:rPr>
                <w:noProof/>
                <w:webHidden/>
              </w:rPr>
              <w:tab/>
            </w:r>
            <w:r>
              <w:rPr>
                <w:noProof/>
                <w:webHidden/>
              </w:rPr>
              <w:fldChar w:fldCharType="begin"/>
            </w:r>
            <w:r>
              <w:rPr>
                <w:noProof/>
                <w:webHidden/>
              </w:rPr>
              <w:instrText xml:space="preserve"> PAGEREF _Toc200703627 \h </w:instrText>
            </w:r>
            <w:r>
              <w:rPr>
                <w:noProof/>
                <w:webHidden/>
              </w:rPr>
            </w:r>
            <w:r>
              <w:rPr>
                <w:noProof/>
                <w:webHidden/>
              </w:rPr>
              <w:fldChar w:fldCharType="separate"/>
            </w:r>
            <w:r>
              <w:rPr>
                <w:noProof/>
                <w:webHidden/>
              </w:rPr>
              <w:t>38</w:t>
            </w:r>
            <w:r>
              <w:rPr>
                <w:noProof/>
                <w:webHidden/>
              </w:rPr>
              <w:fldChar w:fldCharType="end"/>
            </w:r>
          </w:hyperlink>
        </w:p>
        <w:p w14:paraId="76C23FC5" w14:textId="2437CBBB"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8" w:history="1">
            <w:r w:rsidRPr="00A26EAB">
              <w:rPr>
                <w:rStyle w:val="Hyperlink"/>
                <w:noProof/>
              </w:rPr>
              <w:t>The future of Australia’s visitor economy</w:t>
            </w:r>
            <w:r>
              <w:rPr>
                <w:noProof/>
                <w:webHidden/>
              </w:rPr>
              <w:tab/>
            </w:r>
            <w:r>
              <w:rPr>
                <w:noProof/>
                <w:webHidden/>
              </w:rPr>
              <w:fldChar w:fldCharType="begin"/>
            </w:r>
            <w:r>
              <w:rPr>
                <w:noProof/>
                <w:webHidden/>
              </w:rPr>
              <w:instrText xml:space="preserve"> PAGEREF _Toc200703628 \h </w:instrText>
            </w:r>
            <w:r>
              <w:rPr>
                <w:noProof/>
                <w:webHidden/>
              </w:rPr>
            </w:r>
            <w:r>
              <w:rPr>
                <w:noProof/>
                <w:webHidden/>
              </w:rPr>
              <w:fldChar w:fldCharType="separate"/>
            </w:r>
            <w:r>
              <w:rPr>
                <w:noProof/>
                <w:webHidden/>
              </w:rPr>
              <w:t>38</w:t>
            </w:r>
            <w:r>
              <w:rPr>
                <w:noProof/>
                <w:webHidden/>
              </w:rPr>
              <w:fldChar w:fldCharType="end"/>
            </w:r>
          </w:hyperlink>
        </w:p>
        <w:p w14:paraId="151550A5" w14:textId="64039300"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29" w:history="1">
            <w:r w:rsidRPr="00A26EAB">
              <w:rPr>
                <w:rStyle w:val="Hyperlink"/>
                <w:noProof/>
              </w:rPr>
              <w:t>International outlook</w:t>
            </w:r>
            <w:r>
              <w:rPr>
                <w:noProof/>
                <w:webHidden/>
              </w:rPr>
              <w:tab/>
            </w:r>
            <w:r>
              <w:rPr>
                <w:noProof/>
                <w:webHidden/>
              </w:rPr>
              <w:fldChar w:fldCharType="begin"/>
            </w:r>
            <w:r>
              <w:rPr>
                <w:noProof/>
                <w:webHidden/>
              </w:rPr>
              <w:instrText xml:space="preserve"> PAGEREF _Toc200703629 \h </w:instrText>
            </w:r>
            <w:r>
              <w:rPr>
                <w:noProof/>
                <w:webHidden/>
              </w:rPr>
            </w:r>
            <w:r>
              <w:rPr>
                <w:noProof/>
                <w:webHidden/>
              </w:rPr>
              <w:fldChar w:fldCharType="separate"/>
            </w:r>
            <w:r>
              <w:rPr>
                <w:noProof/>
                <w:webHidden/>
              </w:rPr>
              <w:t>39</w:t>
            </w:r>
            <w:r>
              <w:rPr>
                <w:noProof/>
                <w:webHidden/>
              </w:rPr>
              <w:fldChar w:fldCharType="end"/>
            </w:r>
          </w:hyperlink>
        </w:p>
        <w:p w14:paraId="6DC388F4" w14:textId="52C4AD2A" w:rsidR="0008568A" w:rsidRDefault="0008568A">
          <w:pPr>
            <w:pStyle w:val="TOC3"/>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30" w:history="1">
            <w:r w:rsidRPr="00A26EAB">
              <w:rPr>
                <w:rStyle w:val="Hyperlink"/>
                <w:noProof/>
              </w:rPr>
              <w:t>Domestic outlook</w:t>
            </w:r>
            <w:r>
              <w:rPr>
                <w:noProof/>
                <w:webHidden/>
              </w:rPr>
              <w:tab/>
            </w:r>
            <w:r>
              <w:rPr>
                <w:noProof/>
                <w:webHidden/>
              </w:rPr>
              <w:fldChar w:fldCharType="begin"/>
            </w:r>
            <w:r>
              <w:rPr>
                <w:noProof/>
                <w:webHidden/>
              </w:rPr>
              <w:instrText xml:space="preserve"> PAGEREF _Toc200703630 \h </w:instrText>
            </w:r>
            <w:r>
              <w:rPr>
                <w:noProof/>
                <w:webHidden/>
              </w:rPr>
            </w:r>
            <w:r>
              <w:rPr>
                <w:noProof/>
                <w:webHidden/>
              </w:rPr>
              <w:fldChar w:fldCharType="separate"/>
            </w:r>
            <w:r>
              <w:rPr>
                <w:noProof/>
                <w:webHidden/>
              </w:rPr>
              <w:t>41</w:t>
            </w:r>
            <w:r>
              <w:rPr>
                <w:noProof/>
                <w:webHidden/>
              </w:rPr>
              <w:fldChar w:fldCharType="end"/>
            </w:r>
          </w:hyperlink>
        </w:p>
        <w:p w14:paraId="0169EFA2" w14:textId="7C062C3C" w:rsidR="0008568A" w:rsidRDefault="0008568A">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00703631" w:history="1">
            <w:r w:rsidRPr="00A26EAB">
              <w:rPr>
                <w:rStyle w:val="Hyperlink"/>
                <w:noProof/>
              </w:rPr>
              <w:t>Data sources</w:t>
            </w:r>
            <w:r>
              <w:rPr>
                <w:noProof/>
                <w:webHidden/>
              </w:rPr>
              <w:tab/>
            </w:r>
            <w:r>
              <w:rPr>
                <w:noProof/>
                <w:webHidden/>
              </w:rPr>
              <w:fldChar w:fldCharType="begin"/>
            </w:r>
            <w:r>
              <w:rPr>
                <w:noProof/>
                <w:webHidden/>
              </w:rPr>
              <w:instrText xml:space="preserve"> PAGEREF _Toc200703631 \h </w:instrText>
            </w:r>
            <w:r>
              <w:rPr>
                <w:noProof/>
                <w:webHidden/>
              </w:rPr>
            </w:r>
            <w:r>
              <w:rPr>
                <w:noProof/>
                <w:webHidden/>
              </w:rPr>
              <w:fldChar w:fldCharType="separate"/>
            </w:r>
            <w:r>
              <w:rPr>
                <w:noProof/>
                <w:webHidden/>
              </w:rPr>
              <w:t>43</w:t>
            </w:r>
            <w:r>
              <w:rPr>
                <w:noProof/>
                <w:webHidden/>
              </w:rPr>
              <w:fldChar w:fldCharType="end"/>
            </w:r>
          </w:hyperlink>
        </w:p>
        <w:p w14:paraId="664DB26B" w14:textId="35EE997B" w:rsidR="008A2704" w:rsidRDefault="008A2704">
          <w:r>
            <w:rPr>
              <w:b/>
              <w:bCs/>
              <w:noProof/>
            </w:rPr>
            <w:fldChar w:fldCharType="end"/>
          </w:r>
        </w:p>
      </w:sdtContent>
    </w:sdt>
    <w:p w14:paraId="4DB29B05" w14:textId="77777777" w:rsidR="00C6305C" w:rsidRPr="00C6305C" w:rsidRDefault="00C6305C" w:rsidP="00C6305C">
      <w:pPr>
        <w:rPr>
          <w:lang w:eastAsia="zh-CN"/>
        </w:rPr>
      </w:pPr>
    </w:p>
    <w:p w14:paraId="67CFCFE9" w14:textId="77777777" w:rsidR="006C0848" w:rsidRDefault="006C0848">
      <w:pPr>
        <w:spacing w:before="0" w:after="160" w:line="259" w:lineRule="auto"/>
        <w:rPr>
          <w:rFonts w:eastAsia="SimSun" w:cs="Times New Roman"/>
          <w:bCs/>
          <w:color w:val="441D4A" w:themeColor="accent1" w:themeShade="80"/>
          <w:sz w:val="32"/>
          <w:szCs w:val="26"/>
          <w:lang w:eastAsia="zh-CN"/>
        </w:rPr>
      </w:pPr>
      <w:r>
        <w:br w:type="page"/>
      </w:r>
    </w:p>
    <w:p w14:paraId="2E7EB072" w14:textId="19F986E5" w:rsidR="001A47B0" w:rsidRDefault="00EF5260" w:rsidP="00184281">
      <w:pPr>
        <w:pStyle w:val="Heading2"/>
        <w:spacing w:line="240" w:lineRule="atLeast"/>
      </w:pPr>
      <w:bookmarkStart w:id="11" w:name="_Toc200703613"/>
      <w:r>
        <w:lastRenderedPageBreak/>
        <w:t>Visitor economy review</w:t>
      </w:r>
      <w:bookmarkEnd w:id="11"/>
    </w:p>
    <w:p w14:paraId="220B31EA" w14:textId="45BC5D77" w:rsidR="007F68AF" w:rsidRPr="007F68AF" w:rsidRDefault="007F68AF" w:rsidP="007F68AF">
      <w:pPr>
        <w:spacing w:line="300" w:lineRule="atLeast"/>
      </w:pPr>
      <w:r w:rsidRPr="007F68AF">
        <w:t>This benchmark report provides evidence and insights into how Australia’s visitor economy performed in 2024. Tourism Research Australia (TRA) produces this annual overview of the capacity of providers in the Australian tourism sector (supply side), as well as trends in demand, to:</w:t>
      </w:r>
    </w:p>
    <w:p w14:paraId="2286B261" w14:textId="77777777" w:rsidR="007F68AF" w:rsidRPr="007F68AF" w:rsidRDefault="007F68AF" w:rsidP="00B2257C">
      <w:pPr>
        <w:pStyle w:val="BulletList"/>
      </w:pPr>
      <w:r w:rsidRPr="007F68AF">
        <w:t xml:space="preserve">explain major developments in the visitor economy </w:t>
      </w:r>
    </w:p>
    <w:p w14:paraId="2475FAF2" w14:textId="77777777" w:rsidR="007F68AF" w:rsidRPr="007F68AF" w:rsidRDefault="007F68AF" w:rsidP="00B2257C">
      <w:pPr>
        <w:pStyle w:val="BulletList"/>
      </w:pPr>
      <w:r w:rsidRPr="007F68AF">
        <w:t>highlight challenges and opportunities for the visitor economy</w:t>
      </w:r>
    </w:p>
    <w:p w14:paraId="5D28E93C" w14:textId="77777777" w:rsidR="007F68AF" w:rsidRPr="007F68AF" w:rsidRDefault="007F68AF" w:rsidP="00B2257C">
      <w:pPr>
        <w:pStyle w:val="BulletList"/>
      </w:pPr>
      <w:r w:rsidRPr="007F68AF">
        <w:t xml:space="preserve">help the industry and governments understand and adapt to the changing demand and supply environment. </w:t>
      </w:r>
    </w:p>
    <w:p w14:paraId="0F751B2A" w14:textId="70D4FAC7" w:rsidR="007F68AF" w:rsidRDefault="00D94986" w:rsidP="00184281">
      <w:pPr>
        <w:spacing w:line="300" w:lineRule="atLeast"/>
      </w:pPr>
      <w:r w:rsidRPr="008D436F">
        <w:t>Previously, this annual report was called the ‘State of the Industry’ report.</w:t>
      </w:r>
    </w:p>
    <w:p w14:paraId="1D31554B" w14:textId="77777777" w:rsidR="00CB6597" w:rsidRPr="00CB6597" w:rsidRDefault="00CB6597" w:rsidP="00CB6597">
      <w:pPr>
        <w:spacing w:line="300" w:lineRule="atLeast"/>
      </w:pPr>
      <w:r w:rsidRPr="00CB6597">
        <w:t>In 2024, Australia’s visitor economy:</w:t>
      </w:r>
    </w:p>
    <w:p w14:paraId="08A1E0B6" w14:textId="77777777" w:rsidR="00CB6597" w:rsidRPr="00CB6597" w:rsidRDefault="00CB6597" w:rsidP="00B2257C">
      <w:pPr>
        <w:pStyle w:val="BulletList"/>
      </w:pPr>
      <w:r w:rsidRPr="00CB6597">
        <w:t>welcomed 15% more international visitors than in 2023</w:t>
      </w:r>
    </w:p>
    <w:p w14:paraId="45365E04" w14:textId="77777777" w:rsidR="00CB6597" w:rsidRPr="00CB6597" w:rsidRDefault="00CB6597" w:rsidP="00B2257C">
      <w:pPr>
        <w:pStyle w:val="BulletList"/>
      </w:pPr>
      <w:r w:rsidRPr="00CB6597">
        <w:t>hosted more domestic overnight trips, despite pressures influencing discretionary spending</w:t>
      </w:r>
    </w:p>
    <w:p w14:paraId="51C18642" w14:textId="77777777" w:rsidR="00CB6597" w:rsidRPr="00CB6597" w:rsidRDefault="00CB6597" w:rsidP="00B2257C">
      <w:pPr>
        <w:pStyle w:val="BulletList"/>
      </w:pPr>
      <w:r w:rsidRPr="00CB6597">
        <w:t>generated record high tourism spend</w:t>
      </w:r>
    </w:p>
    <w:p w14:paraId="084884C5" w14:textId="77777777" w:rsidR="00CB6597" w:rsidRPr="00CB6597" w:rsidRDefault="00CB6597" w:rsidP="00B2257C">
      <w:pPr>
        <w:pStyle w:val="BulletList"/>
      </w:pPr>
      <w:r w:rsidRPr="00CB6597">
        <w:t>sustained a record high number of filled tourism jobs and tourism businesses</w:t>
      </w:r>
    </w:p>
    <w:p w14:paraId="611A3788" w14:textId="77777777" w:rsidR="00CB6597" w:rsidRPr="00CB6597" w:rsidRDefault="00CB6597" w:rsidP="00B2257C">
      <w:pPr>
        <w:pStyle w:val="BulletList"/>
      </w:pPr>
      <w:r w:rsidRPr="00CB6597">
        <w:t>offered more accommodation establishments and more aviation routes to service the demand of travellers.</w:t>
      </w:r>
    </w:p>
    <w:p w14:paraId="45D13E90" w14:textId="77777777" w:rsidR="00CB6597" w:rsidRPr="00CB6597" w:rsidRDefault="00CB6597" w:rsidP="00CB6597">
      <w:pPr>
        <w:spacing w:line="300" w:lineRule="atLeast"/>
      </w:pPr>
      <w:r w:rsidRPr="00CB6597">
        <w:t>In addition to these economic benefits, the visitor economy delivered social and environmental benefits for Australia. In 2024:</w:t>
      </w:r>
    </w:p>
    <w:p w14:paraId="0759F235" w14:textId="77777777" w:rsidR="00CB6597" w:rsidRPr="00CB6597" w:rsidRDefault="00CB6597" w:rsidP="00166553">
      <w:pPr>
        <w:pStyle w:val="BulletList"/>
      </w:pPr>
      <w:r w:rsidRPr="00CB6597">
        <w:t>more travellers than ever before engaged with First Nations experiences</w:t>
      </w:r>
    </w:p>
    <w:p w14:paraId="20AD9134" w14:textId="7E334A4D" w:rsidR="00CB6597" w:rsidRPr="00CB6597" w:rsidRDefault="00166553" w:rsidP="00166553">
      <w:pPr>
        <w:pStyle w:val="BulletList"/>
      </w:pPr>
      <w:r>
        <w:t>d</w:t>
      </w:r>
      <w:r w:rsidR="00CB6597" w:rsidRPr="00CB6597">
        <w:t>emand for agritourism, and sustainable and regenerative tourism products was strong</w:t>
      </w:r>
    </w:p>
    <w:p w14:paraId="3DA84957" w14:textId="421E838F" w:rsidR="00CB6597" w:rsidRPr="00CB6597" w:rsidRDefault="00166553" w:rsidP="00166553">
      <w:pPr>
        <w:pStyle w:val="BulletList"/>
      </w:pPr>
      <w:r>
        <w:t>i</w:t>
      </w:r>
      <w:r w:rsidR="00CB6597" w:rsidRPr="00CB6597">
        <w:t xml:space="preserve">nternational traveller engagement/feedback was more positive than ever before. </w:t>
      </w:r>
    </w:p>
    <w:p w14:paraId="7C125316" w14:textId="77777777" w:rsidR="00CB6597" w:rsidRDefault="00CB6597" w:rsidP="00CB6597">
      <w:pPr>
        <w:spacing w:line="300" w:lineRule="atLeast"/>
      </w:pPr>
      <w:r w:rsidRPr="00CB6597">
        <w:t>Nevertheless, the sector continued to face lingering challenges including lower international visitation than in previous peak years, ongoing skills shortages and higher costs of doing business. Government-led initiatives are expected to support the visitor economy to overcome challenges and thrive as it grows sustainably into the future.</w:t>
      </w:r>
    </w:p>
    <w:p w14:paraId="5CF839F8" w14:textId="66ECA67E" w:rsidR="00896615" w:rsidRDefault="00896615" w:rsidP="00CB6597">
      <w:pPr>
        <w:spacing w:line="300" w:lineRule="atLeast"/>
      </w:pPr>
      <w:r>
        <w:t>Australia’s visitor economy in 2024 consisted of:</w:t>
      </w:r>
    </w:p>
    <w:p w14:paraId="7B15C32A" w14:textId="77777777" w:rsidR="00DF2C80" w:rsidRDefault="00935EC4" w:rsidP="00DF2C80">
      <w:pPr>
        <w:pStyle w:val="BulletList"/>
      </w:pPr>
      <w:r w:rsidRPr="00935EC4">
        <w:rPr>
          <w:b/>
          <w:bCs/>
        </w:rPr>
        <w:t xml:space="preserve">8.3 million </w:t>
      </w:r>
      <w:r w:rsidRPr="00935EC4">
        <w:t>international visitor arrivals in 2024</w:t>
      </w:r>
      <w:r w:rsidR="00DF2C80">
        <w:t>, u</w:t>
      </w:r>
      <w:r w:rsidRPr="00935EC4">
        <w:t>p by 15% (from 7.2 million in 2023)</w:t>
      </w:r>
    </w:p>
    <w:p w14:paraId="40C875C1" w14:textId="066F68D7" w:rsidR="00935EC4" w:rsidRPr="00935EC4" w:rsidRDefault="00935EC4" w:rsidP="00DF2C80">
      <w:pPr>
        <w:pStyle w:val="BulletList"/>
      </w:pPr>
      <w:r w:rsidRPr="00DF2C80">
        <w:rPr>
          <w:b/>
          <w:bCs/>
        </w:rPr>
        <w:t xml:space="preserve">115 million </w:t>
      </w:r>
      <w:r w:rsidRPr="00935EC4">
        <w:t>domestic overnight trips in 2024</w:t>
      </w:r>
      <w:r w:rsidR="00DF2C80">
        <w:t>, u</w:t>
      </w:r>
      <w:r w:rsidRPr="00935EC4">
        <w:t xml:space="preserve">p by 2% (from 112.6 million in 2023) </w:t>
      </w:r>
    </w:p>
    <w:p w14:paraId="5024F58F" w14:textId="0C10305A" w:rsidR="00935EC4" w:rsidRPr="00935EC4" w:rsidRDefault="00935EC4" w:rsidP="00DF2C80">
      <w:pPr>
        <w:pStyle w:val="BulletList"/>
      </w:pPr>
      <w:r w:rsidRPr="00935EC4">
        <w:rPr>
          <w:b/>
          <w:bCs/>
        </w:rPr>
        <w:t xml:space="preserve">397.5 million </w:t>
      </w:r>
      <w:r w:rsidRPr="00935EC4">
        <w:t>domestic visitor nights in 2024</w:t>
      </w:r>
      <w:r w:rsidR="00DF2C80">
        <w:t>, d</w:t>
      </w:r>
      <w:r w:rsidRPr="00935EC4">
        <w:t>own by 1.2% (from 402.4 million)</w:t>
      </w:r>
    </w:p>
    <w:p w14:paraId="3F9624F6" w14:textId="540483C7" w:rsidR="00935EC4" w:rsidRDefault="00935EC4" w:rsidP="000F1D02">
      <w:pPr>
        <w:pStyle w:val="BulletList"/>
      </w:pPr>
      <w:r w:rsidRPr="00935EC4">
        <w:rPr>
          <w:b/>
          <w:bCs/>
        </w:rPr>
        <w:t xml:space="preserve">$214 billion </w:t>
      </w:r>
      <w:r w:rsidRPr="00935EC4">
        <w:t>visitor economy spend in Australia in 2024</w:t>
      </w:r>
      <w:r w:rsidR="001B141F">
        <w:t xml:space="preserve"> (Figure 1)</w:t>
      </w:r>
      <w:r w:rsidR="000F1D02">
        <w:t>, u</w:t>
      </w:r>
      <w:r w:rsidRPr="00935EC4">
        <w:t>p by 3.4%, $7.1</w:t>
      </w:r>
      <w:r w:rsidR="000F1D02">
        <w:t> </w:t>
      </w:r>
      <w:r w:rsidRPr="00935EC4">
        <w:t>billion (from $207 billion in 2023)</w:t>
      </w:r>
      <w:r w:rsidR="000F1D02">
        <w:t>.</w:t>
      </w:r>
    </w:p>
    <w:p w14:paraId="650FB070" w14:textId="65EE57FB" w:rsidR="001B141F" w:rsidRDefault="001B141F" w:rsidP="001B141F">
      <w:pPr>
        <w:pStyle w:val="ListBullet"/>
        <w:keepNext/>
        <w:numPr>
          <w:ilvl w:val="0"/>
          <w:numId w:val="0"/>
        </w:numPr>
        <w:spacing w:line="300" w:lineRule="atLeast"/>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Pr="00CF2399">
        <w:rPr>
          <w:rFonts w:ascii="Verdana" w:eastAsiaTheme="minorHAnsi" w:hAnsi="Verdana"/>
          <w:color w:val="300050" w:themeColor="text2"/>
          <w:lang w:eastAsia="en-US"/>
        </w:rPr>
        <w:t>Total</w:t>
      </w:r>
      <w:r>
        <w:rPr>
          <w:rFonts w:ascii="Verdana" w:eastAsiaTheme="minorHAnsi" w:hAnsi="Verdana"/>
          <w:color w:val="300050" w:themeColor="text2"/>
          <w:lang w:eastAsia="en-US"/>
        </w:rPr>
        <w:t xml:space="preserve"> visitor spend in Australia in 2024 by traveller type (including long-stay international students).</w:t>
      </w:r>
    </w:p>
    <w:p w14:paraId="1C4D99D1" w14:textId="6D973E75" w:rsidR="00CB6597" w:rsidRDefault="006220E9" w:rsidP="004B0820">
      <w:pPr>
        <w:spacing w:line="300" w:lineRule="atLeast"/>
        <w:jc w:val="center"/>
      </w:pPr>
      <w:r w:rsidRPr="006220E9">
        <w:rPr>
          <w:noProof/>
        </w:rPr>
        <w:drawing>
          <wp:inline distT="0" distB="0" distL="0" distR="0" wp14:anchorId="6BA2930B" wp14:editId="2F1B022C">
            <wp:extent cx="5886000" cy="3582000"/>
            <wp:effectExtent l="0" t="0" r="635" b="0"/>
            <wp:docPr id="129901145" name="Picture 2" descr="This chart shows the composition of the total spend in Australia in 2024 by all visitors based on the THRIVE spend measure, which includes long-term international students. The majority of total spend ($141 billion out of a total $214 billion) was accounted for by domestic visitors, while international visitors contributed a smaller share ($73 billion out of a total $214 billion). On the international side, long-term international students contributed a large amount ($40 billion) to spend in 2024. On the domestic side, holiday travel was the largest component and contributed $75 billio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145" name="Picture 2" descr="This chart shows the composition of the total spend in Australia in 2024 by all visitors based on the THRIVE spend measure, which includes long-term international students. The majority of total spend ($141 billion out of a total $214 billion) was accounted for by domestic visitors, while international visitors contributed a smaller share ($73 billion out of a total $214 billion). On the international side, long-term international students contributed a large amount ($40 billion) to spend in 2024. On the domestic side, holiday travel was the largest component and contributed $75 billion in 2024."/>
                    <pic:cNvPicPr>
                      <a:picLocks noChangeAspect="1" noChangeArrowheads="1"/>
                    </pic:cNvPicPr>
                  </pic:nvPicPr>
                  <pic:blipFill rotWithShape="1">
                    <a:blip r:embed="rId19">
                      <a:extLst>
                        <a:ext uri="{28A0092B-C50C-407E-A947-70E740481C1C}">
                          <a14:useLocalDpi xmlns:a14="http://schemas.microsoft.com/office/drawing/2010/main" val="0"/>
                        </a:ext>
                      </a:extLst>
                    </a:blip>
                    <a:srcRect t="3847"/>
                    <a:stretch/>
                  </pic:blipFill>
                  <pic:spPr bwMode="auto">
                    <a:xfrm>
                      <a:off x="0" y="0"/>
                      <a:ext cx="5886000" cy="3582000"/>
                    </a:xfrm>
                    <a:prstGeom prst="rect">
                      <a:avLst/>
                    </a:prstGeom>
                    <a:noFill/>
                    <a:ln>
                      <a:noFill/>
                    </a:ln>
                    <a:extLst>
                      <a:ext uri="{53640926-AAD7-44D8-BBD7-CCE9431645EC}">
                        <a14:shadowObscured xmlns:a14="http://schemas.microsoft.com/office/drawing/2010/main"/>
                      </a:ext>
                    </a:extLst>
                  </pic:spPr>
                </pic:pic>
              </a:graphicData>
            </a:graphic>
          </wp:inline>
        </w:drawing>
      </w:r>
    </w:p>
    <w:p w14:paraId="52460A8C" w14:textId="3F9C6B6B" w:rsidR="00EF526A" w:rsidRDefault="00AE5213" w:rsidP="00184281">
      <w:pPr>
        <w:spacing w:line="300" w:lineRule="atLeast"/>
      </w:pPr>
      <w:r w:rsidRPr="008D436F">
        <w:t xml:space="preserve"> </w:t>
      </w:r>
      <w:r w:rsidR="00BE5CDC" w:rsidRPr="00BE5CDC">
        <w:t>The visitor economy had a significant impact on GDP, investment, businesses and jobs in 2024</w:t>
      </w:r>
      <w:r w:rsidR="00BE5CDC">
        <w:t>.</w:t>
      </w:r>
    </w:p>
    <w:p w14:paraId="7FAAF8AA" w14:textId="1D165EA8" w:rsidR="00BE5CDC" w:rsidRDefault="00BE5CDC" w:rsidP="005C3095">
      <w:pPr>
        <w:pStyle w:val="BulletList"/>
        <w:ind w:left="1077" w:hanging="357"/>
        <w:contextualSpacing w:val="0"/>
      </w:pPr>
      <w:r>
        <w:t>Tourism contribution to GDP was $78.1 billion in 2023</w:t>
      </w:r>
      <w:r w:rsidR="0035550E">
        <w:t xml:space="preserve">–24, this was 2.9% of </w:t>
      </w:r>
      <w:r w:rsidR="002C5D7E">
        <w:t>national GDP. The tourism contribution to GDP increased by 9% ($6.5 billion) from 2022–23.</w:t>
      </w:r>
    </w:p>
    <w:p w14:paraId="14BC2805" w14:textId="347FA6BD" w:rsidR="002C5D7E" w:rsidRDefault="002C5D7E" w:rsidP="005C3095">
      <w:pPr>
        <w:pStyle w:val="BulletList"/>
        <w:ind w:left="1077" w:hanging="357"/>
        <w:contextualSpacing w:val="0"/>
      </w:pPr>
      <w:r>
        <w:t>The tourism investment pipeline increased to $63.4 billion in 2023–24,</w:t>
      </w:r>
      <w:r w:rsidR="00024C16">
        <w:t xml:space="preserve"> and contained 346 major tourism-related projects. The tourism investment pipeline has increased each year since </w:t>
      </w:r>
      <w:r w:rsidR="00A8775C">
        <w:t>2018−19.</w:t>
      </w:r>
    </w:p>
    <w:p w14:paraId="626A9471" w14:textId="411CC0F1" w:rsidR="00A8775C" w:rsidRDefault="00BD459C" w:rsidP="005C3095">
      <w:pPr>
        <w:pStyle w:val="BulletList"/>
        <w:ind w:left="1077" w:hanging="357"/>
        <w:contextualSpacing w:val="0"/>
      </w:pPr>
      <w:r>
        <w:t xml:space="preserve">The number of </w:t>
      </w:r>
      <w:r w:rsidR="00A8775C">
        <w:t>tourism</w:t>
      </w:r>
      <w:r>
        <w:t xml:space="preserve">-related businesses operating was 360,202 in June 2024. This accounted for one in 7 businesses in Australia and was </w:t>
      </w:r>
      <w:r w:rsidR="00686D86">
        <w:t>up by 2,588 (0.7%) compared with June 2023.</w:t>
      </w:r>
    </w:p>
    <w:p w14:paraId="29D3FD42" w14:textId="094D6BF6" w:rsidR="000A7402" w:rsidRDefault="00686D86" w:rsidP="005C3095">
      <w:pPr>
        <w:pStyle w:val="BulletList"/>
        <w:ind w:left="1077" w:hanging="357"/>
        <w:contextualSpacing w:val="0"/>
      </w:pPr>
      <w:r>
        <w:t xml:space="preserve">The number of tourism filled jobs reached a record high in December 2024 or 713,500. This represented one in 23 jobs in Australia and was </w:t>
      </w:r>
      <w:r w:rsidR="006C0D26">
        <w:t>up by 17,500 filled jobs (2.5%) compared with December 2023.</w:t>
      </w:r>
    </w:p>
    <w:p w14:paraId="6DE59B09" w14:textId="33BF8D42" w:rsidR="000A7402" w:rsidRPr="008D436F" w:rsidRDefault="000A7402" w:rsidP="000A7402">
      <w:pPr>
        <w:pStyle w:val="Heading3"/>
      </w:pPr>
      <w:bookmarkStart w:id="12" w:name="_Toc200703614"/>
      <w:r w:rsidRPr="000A7402">
        <w:t>Measuring sustainable growth with TRA’s new LIVE Framework</w:t>
      </w:r>
      <w:bookmarkEnd w:id="12"/>
    </w:p>
    <w:p w14:paraId="0A24A051" w14:textId="77777777" w:rsidR="00BF739C" w:rsidRPr="00BF739C" w:rsidRDefault="00BF739C" w:rsidP="00BF739C">
      <w:r w:rsidRPr="00BF739C">
        <w:t xml:space="preserve">The </w:t>
      </w:r>
      <w:hyperlink r:id="rId20" w:history="1">
        <w:r w:rsidRPr="00BF739C">
          <w:rPr>
            <w:rStyle w:val="Hyperlink"/>
          </w:rPr>
          <w:t>Longitudinal Indicators for the Visitor Economy (LIVE)</w:t>
        </w:r>
      </w:hyperlink>
      <w:r w:rsidRPr="00BF739C">
        <w:t xml:space="preserve"> Framework was first published by TRA in 2024. It reports on social, environmental and institutional factors, alongside more traditional economic metrics. These factors help measure the sustainable development of the visitor economy in broader context.</w:t>
      </w:r>
    </w:p>
    <w:p w14:paraId="3A2708E3" w14:textId="77777777" w:rsidR="00BF739C" w:rsidRPr="00BF739C" w:rsidRDefault="00BF739C" w:rsidP="00BF739C">
      <w:r w:rsidRPr="00BF739C">
        <w:t xml:space="preserve">This approach recognises that the impact of the visitor economy is more than the economic benefits it brings, and that tourism plays an important role in preserving and enhancing the natural and social environment and contributing to local communities. Therefore, gauging the </w:t>
      </w:r>
      <w:r w:rsidRPr="00BF739C">
        <w:lastRenderedPageBreak/>
        <w:t xml:space="preserve">overall health and progress of the visitor economy requires input from a wide range of metrics and indicators. </w:t>
      </w:r>
    </w:p>
    <w:p w14:paraId="068CAE8E" w14:textId="0FE18E3C" w:rsidR="00BF739C" w:rsidRPr="00BF739C" w:rsidRDefault="00BF739C" w:rsidP="00BF739C">
      <w:r w:rsidRPr="00BF739C">
        <w:t>Enhancing social and environmental aspects of the visitor economy is also expected to assist tourism operators, for example:</w:t>
      </w:r>
    </w:p>
    <w:p w14:paraId="5E113901" w14:textId="77777777" w:rsidR="00BF739C" w:rsidRPr="00BF739C" w:rsidRDefault="00BF739C" w:rsidP="00EA3966">
      <w:pPr>
        <w:pStyle w:val="BulletList"/>
      </w:pPr>
      <w:r w:rsidRPr="00BF739C">
        <w:t>Travellers’ feelings about a destination or experience can affect their decision to visit in future and recommend it to other travellers.</w:t>
      </w:r>
    </w:p>
    <w:p w14:paraId="22E5FFB2" w14:textId="3FE24B85" w:rsidR="00AC467B" w:rsidRDefault="00BF739C" w:rsidP="004B0820">
      <w:pPr>
        <w:pStyle w:val="BulletList"/>
      </w:pPr>
      <w:r w:rsidRPr="00BF739C">
        <w:t>Operators may win extra business by being able to demonstrate their sustainability credentials.</w:t>
      </w:r>
    </w:p>
    <w:p w14:paraId="6AF3E204" w14:textId="77777777" w:rsidR="00AC467B" w:rsidRDefault="00AC467B" w:rsidP="00AC467B">
      <w:r>
        <w:t xml:space="preserve">The visitor economy delivered </w:t>
      </w:r>
      <w:r w:rsidRPr="000847C0">
        <w:t>social and environmental benefits for Australi</w:t>
      </w:r>
      <w:r>
        <w:t>a. For example, the LIVE framework reports that in 2024:</w:t>
      </w:r>
    </w:p>
    <w:p w14:paraId="44079CFC" w14:textId="77777777" w:rsidR="006C3E0E" w:rsidRDefault="00AC467B" w:rsidP="006C3E0E">
      <w:pPr>
        <w:pStyle w:val="BulletList"/>
      </w:pPr>
      <w:r>
        <w:t>Australia’s environmental sustainability ranking improved</w:t>
      </w:r>
    </w:p>
    <w:p w14:paraId="03531CCA" w14:textId="16CA92AB" w:rsidR="006C3E0E" w:rsidRPr="00BF739C" w:rsidRDefault="00AC467B" w:rsidP="006C3E0E">
      <w:pPr>
        <w:pStyle w:val="BulletList"/>
      </w:pPr>
      <w:r>
        <w:t xml:space="preserve">there was record high engagement with </w:t>
      </w:r>
      <w:r w:rsidRPr="000847C0">
        <w:t>First Nations experiences</w:t>
      </w:r>
      <w:r>
        <w:t xml:space="preserve"> </w:t>
      </w:r>
      <w:r w:rsidR="006C3E0E">
        <w:t xml:space="preserve">- </w:t>
      </w:r>
      <w:r w:rsidR="00551916">
        <w:t>o</w:t>
      </w:r>
      <w:r w:rsidR="006C3E0E" w:rsidRPr="00BF739C">
        <w:t>ne in 7 overseas visitors to Australia participated in a First Nations tourism experience, up 24% on 2023.</w:t>
      </w:r>
    </w:p>
    <w:p w14:paraId="4A2B3622" w14:textId="17E686CF" w:rsidR="00AC467B" w:rsidRDefault="00AC467B" w:rsidP="006C3E0E">
      <w:pPr>
        <w:pStyle w:val="BulletList"/>
      </w:pPr>
      <w:r>
        <w:t>international visitor appreciation</w:t>
      </w:r>
      <w:r w:rsidRPr="00DA485D">
        <w:t xml:space="preserve"> </w:t>
      </w:r>
      <w:r>
        <w:t>was at a record high</w:t>
      </w:r>
      <w:r w:rsidR="0042701F">
        <w:t xml:space="preserve"> - </w:t>
      </w:r>
      <w:r w:rsidR="0042701F" w:rsidRPr="00BF739C">
        <w:t>97% of international travellers to Australia rated their trip very highly, which bodes well for future visitation</w:t>
      </w:r>
      <w:r>
        <w:t>.</w:t>
      </w:r>
    </w:p>
    <w:p w14:paraId="57A03ADB" w14:textId="4D593F23" w:rsidR="00323715" w:rsidRPr="00AE5213" w:rsidRDefault="00323715" w:rsidP="00184281">
      <w:pPr>
        <w:pStyle w:val="Heading3"/>
        <w:spacing w:line="240" w:lineRule="atLeast"/>
      </w:pPr>
      <w:bookmarkStart w:id="13" w:name="_Toc200703615"/>
      <w:r>
        <w:t>THRIVE 2030 Strategy</w:t>
      </w:r>
      <w:bookmarkEnd w:id="13"/>
    </w:p>
    <w:p w14:paraId="5DB98011" w14:textId="77777777" w:rsidR="006B4AB6" w:rsidRPr="006B4AB6" w:rsidRDefault="006B4AB6" w:rsidP="006B4AB6">
      <w:r w:rsidRPr="006B4AB6">
        <w:t>THRIVE 2030 is Australia’s national strategy for the visitor economy. The Phase 1 (Recovery) Action Plan was implemented between 2022 and 2024. The action plan recognised, and aimed to tackle, the challenges Australia’s visitor economy faced from the COVID-19 pandemic. It focused on strengthening collaboration between all levels of government and industry, addressing workforce challenges, supporting businesses, improving data and insights, and driving domestic and international visitation.</w:t>
      </w:r>
    </w:p>
    <w:p w14:paraId="3072FD8B" w14:textId="71FB9A44" w:rsidR="006B4AB6" w:rsidRPr="006B4AB6" w:rsidRDefault="006B4AB6" w:rsidP="006B4AB6">
      <w:r w:rsidRPr="006B4AB6">
        <w:t>Major progress was achieved across all strategic actions. Visitor spend in Australia reached $214</w:t>
      </w:r>
      <w:r w:rsidR="00E1704C">
        <w:t> </w:t>
      </w:r>
      <w:r w:rsidRPr="006B4AB6">
        <w:t>billion in the 12 months to December 2024. Of this, approximately $80 billion was spent in regional Australia. (Th</w:t>
      </w:r>
      <w:r w:rsidR="00B0342F">
        <w:t>is exceeded the</w:t>
      </w:r>
      <w:r w:rsidRPr="006B4AB6">
        <w:t xml:space="preserve"> </w:t>
      </w:r>
      <w:r w:rsidR="00E1704C">
        <w:t xml:space="preserve">interim </w:t>
      </w:r>
      <w:r w:rsidRPr="006B4AB6">
        <w:t>target</w:t>
      </w:r>
      <w:r w:rsidR="00B0342F">
        <w:t>, which</w:t>
      </w:r>
      <w:r w:rsidRPr="006B4AB6">
        <w:t xml:space="preserve"> was $166 billion in visitor spend by 2024, including $70</w:t>
      </w:r>
      <w:r w:rsidR="00E1704C">
        <w:t> </w:t>
      </w:r>
      <w:r w:rsidRPr="006B4AB6">
        <w:t>billion in regional spend).</w:t>
      </w:r>
    </w:p>
    <w:p w14:paraId="46759084" w14:textId="77777777" w:rsidR="006B4AB6" w:rsidRPr="006B4AB6" w:rsidRDefault="006B4AB6" w:rsidP="006B4AB6">
      <w:r w:rsidRPr="006B4AB6">
        <w:t xml:space="preserve">Following the completion of the “Recovery phase”, the “Consolidation phase” covers the period from 2025 to 2027. After that, the “Acceleration phase”, aims for sustainable industry growth, targeting $230 billion in visitor economy expenditure by 2030. </w:t>
      </w:r>
    </w:p>
    <w:p w14:paraId="0C095F55" w14:textId="5B1A3DE8" w:rsidR="00990DF7" w:rsidRPr="004B0820" w:rsidRDefault="006B4AB6" w:rsidP="004B0820">
      <w:r w:rsidRPr="006B4AB6">
        <w:t xml:space="preserve">The visitor economy is well on the way to achieving this target. It is also well positioned to achieve the broader range of sustainable growth objectives that will see the visitor economy deliver social and environmental benefits as well as economic benefits for Australia. </w:t>
      </w:r>
    </w:p>
    <w:p w14:paraId="7206DC49" w14:textId="77777777" w:rsidR="006C0848" w:rsidRDefault="006C0848">
      <w:pPr>
        <w:spacing w:before="0" w:after="160" w:line="259" w:lineRule="auto"/>
        <w:rPr>
          <w:rFonts w:eastAsia="SimSun" w:cs="Times New Roman"/>
          <w:bCs/>
          <w:color w:val="441D4A" w:themeColor="accent1" w:themeShade="80"/>
          <w:sz w:val="32"/>
          <w:szCs w:val="26"/>
          <w:lang w:eastAsia="zh-CN"/>
        </w:rPr>
      </w:pPr>
      <w:r>
        <w:br w:type="page"/>
      </w:r>
    </w:p>
    <w:p w14:paraId="26662D48" w14:textId="5FBCB09B" w:rsidR="008F484C" w:rsidRDefault="00525B24" w:rsidP="008F484C">
      <w:pPr>
        <w:pStyle w:val="Heading2"/>
      </w:pPr>
      <w:bookmarkStart w:id="14" w:name="_Toc200703616"/>
      <w:r>
        <w:lastRenderedPageBreak/>
        <w:t>Analysis of demand trends.</w:t>
      </w:r>
      <w:r w:rsidRPr="00525B24">
        <w:t xml:space="preserve"> </w:t>
      </w:r>
      <w:r>
        <w:t>Who travelled in 2024 and why?</w:t>
      </w:r>
      <w:bookmarkEnd w:id="14"/>
    </w:p>
    <w:p w14:paraId="6E5F9C18" w14:textId="00D66315" w:rsidR="00150F19" w:rsidRDefault="0021739F" w:rsidP="00A97096">
      <w:pPr>
        <w:rPr>
          <w:lang w:eastAsia="zh-CN"/>
        </w:rPr>
      </w:pPr>
      <w:r>
        <w:rPr>
          <w:lang w:eastAsia="zh-CN"/>
        </w:rPr>
        <w:t xml:space="preserve">Australians love to travel. </w:t>
      </w:r>
      <w:r w:rsidR="0044311F" w:rsidRPr="0044311F">
        <w:rPr>
          <w:lang w:eastAsia="zh-CN"/>
        </w:rPr>
        <w:t>While Australians are keen international travellers, they travel a lot more domestically.</w:t>
      </w:r>
      <w:r w:rsidR="00851B84">
        <w:rPr>
          <w:lang w:eastAsia="zh-CN"/>
        </w:rPr>
        <w:t xml:space="preserve"> </w:t>
      </w:r>
      <w:r w:rsidR="00477852">
        <w:rPr>
          <w:lang w:eastAsia="zh-CN"/>
        </w:rPr>
        <w:t xml:space="preserve">In 2024, </w:t>
      </w:r>
      <w:r w:rsidR="009B48A6">
        <w:rPr>
          <w:lang w:eastAsia="zh-CN"/>
        </w:rPr>
        <w:t xml:space="preserve">Australians took </w:t>
      </w:r>
      <w:r w:rsidR="003B48BD">
        <w:rPr>
          <w:lang w:eastAsia="zh-CN"/>
        </w:rPr>
        <w:t xml:space="preserve">over </w:t>
      </w:r>
      <w:r w:rsidR="009B48A6">
        <w:rPr>
          <w:lang w:eastAsia="zh-CN"/>
        </w:rPr>
        <w:t>31</w:t>
      </w:r>
      <w:r w:rsidR="003B48BD">
        <w:rPr>
          <w:lang w:eastAsia="zh-CN"/>
        </w:rPr>
        <w:t>5</w:t>
      </w:r>
      <w:r w:rsidR="00062395">
        <w:rPr>
          <w:lang w:eastAsia="zh-CN"/>
        </w:rPr>
        <w:t xml:space="preserve"> million </w:t>
      </w:r>
      <w:r w:rsidR="003B48BD">
        <w:rPr>
          <w:lang w:eastAsia="zh-CN"/>
        </w:rPr>
        <w:t>domestic trips (both overnight and day trips)</w:t>
      </w:r>
      <w:r w:rsidR="003C7E7D">
        <w:rPr>
          <w:lang w:eastAsia="zh-CN"/>
        </w:rPr>
        <w:t xml:space="preserve"> (Figure</w:t>
      </w:r>
      <w:r w:rsidR="00851B84">
        <w:rPr>
          <w:lang w:eastAsia="zh-CN"/>
        </w:rPr>
        <w:t> </w:t>
      </w:r>
      <w:r w:rsidR="003C7E7D">
        <w:rPr>
          <w:lang w:eastAsia="zh-CN"/>
        </w:rPr>
        <w:t xml:space="preserve">2). </w:t>
      </w:r>
      <w:r w:rsidR="00276EB0">
        <w:rPr>
          <w:lang w:eastAsia="zh-CN"/>
        </w:rPr>
        <w:t xml:space="preserve">This equates to an average of </w:t>
      </w:r>
      <w:r w:rsidR="00393B32">
        <w:rPr>
          <w:lang w:eastAsia="zh-CN"/>
        </w:rPr>
        <w:t>5 overnight trips and 9</w:t>
      </w:r>
      <w:r>
        <w:rPr>
          <w:lang w:eastAsia="zh-CN"/>
        </w:rPr>
        <w:t> </w:t>
      </w:r>
      <w:r w:rsidR="00393B32">
        <w:rPr>
          <w:lang w:eastAsia="zh-CN"/>
        </w:rPr>
        <w:t>day trips by</w:t>
      </w:r>
      <w:r w:rsidR="00EA45F1">
        <w:rPr>
          <w:lang w:eastAsia="zh-CN"/>
        </w:rPr>
        <w:t xml:space="preserve"> each Australian resident </w:t>
      </w:r>
      <w:r w:rsidR="00945224">
        <w:rPr>
          <w:lang w:eastAsia="zh-CN"/>
        </w:rPr>
        <w:t>(</w:t>
      </w:r>
      <w:r w:rsidR="00EA45F1">
        <w:rPr>
          <w:lang w:eastAsia="zh-CN"/>
        </w:rPr>
        <w:t>aged 15</w:t>
      </w:r>
      <w:r w:rsidR="00945224">
        <w:rPr>
          <w:lang w:eastAsia="zh-CN"/>
        </w:rPr>
        <w:t>+)</w:t>
      </w:r>
      <w:r w:rsidR="00EA45F1">
        <w:rPr>
          <w:lang w:eastAsia="zh-CN"/>
        </w:rPr>
        <w:t xml:space="preserve"> </w:t>
      </w:r>
      <w:r w:rsidR="00393B32">
        <w:rPr>
          <w:lang w:eastAsia="zh-CN"/>
        </w:rPr>
        <w:t>during the year</w:t>
      </w:r>
      <w:r w:rsidR="009F0E7F">
        <w:rPr>
          <w:lang w:eastAsia="zh-CN"/>
        </w:rPr>
        <w:t>.</w:t>
      </w:r>
      <w:r w:rsidR="00150F19">
        <w:rPr>
          <w:lang w:eastAsia="zh-CN"/>
        </w:rPr>
        <w:t xml:space="preserve"> </w:t>
      </w:r>
      <w:r w:rsidR="002F4B6A">
        <w:rPr>
          <w:lang w:eastAsia="zh-CN"/>
        </w:rPr>
        <w:t xml:space="preserve">In comparison there were </w:t>
      </w:r>
      <w:r w:rsidR="00956588">
        <w:rPr>
          <w:lang w:eastAsia="zh-CN"/>
        </w:rPr>
        <w:t>just under</w:t>
      </w:r>
      <w:r w:rsidR="00781647">
        <w:rPr>
          <w:lang w:eastAsia="zh-CN"/>
        </w:rPr>
        <w:t xml:space="preserve"> 10 million international outbound trips </w:t>
      </w:r>
      <w:r w:rsidR="00956588">
        <w:rPr>
          <w:lang w:eastAsia="zh-CN"/>
        </w:rPr>
        <w:t>in 2024. This means that, o</w:t>
      </w:r>
      <w:r w:rsidR="00BC4B9F">
        <w:rPr>
          <w:lang w:eastAsia="zh-CN"/>
        </w:rPr>
        <w:t xml:space="preserve">n average, each Australian resident </w:t>
      </w:r>
      <w:r w:rsidR="0085332A">
        <w:rPr>
          <w:lang w:eastAsia="zh-CN"/>
        </w:rPr>
        <w:t xml:space="preserve">(aged 15+) </w:t>
      </w:r>
      <w:r w:rsidR="00BC4B9F">
        <w:rPr>
          <w:lang w:eastAsia="zh-CN"/>
        </w:rPr>
        <w:t xml:space="preserve">took </w:t>
      </w:r>
      <w:r w:rsidR="0085332A">
        <w:rPr>
          <w:lang w:eastAsia="zh-CN"/>
        </w:rPr>
        <w:t>one</w:t>
      </w:r>
      <w:r w:rsidR="00BC4B9F">
        <w:rPr>
          <w:lang w:eastAsia="zh-CN"/>
        </w:rPr>
        <w:t xml:space="preserve"> international outbound trip every 2¼ years. </w:t>
      </w:r>
    </w:p>
    <w:p w14:paraId="25E1C4F7" w14:textId="77777777" w:rsidR="00FB0467" w:rsidRDefault="002525AA" w:rsidP="00FB0467">
      <w:pPr>
        <w:rPr>
          <w:lang w:eastAsia="zh-CN"/>
        </w:rPr>
      </w:pPr>
      <w:r>
        <w:rPr>
          <w:lang w:eastAsia="zh-CN"/>
        </w:rPr>
        <w:t xml:space="preserve">There were </w:t>
      </w:r>
      <w:r w:rsidR="004D613F">
        <w:rPr>
          <w:lang w:eastAsia="zh-CN"/>
        </w:rPr>
        <w:t>7.6</w:t>
      </w:r>
      <w:r>
        <w:rPr>
          <w:lang w:eastAsia="zh-CN"/>
        </w:rPr>
        <w:t xml:space="preserve"> million </w:t>
      </w:r>
      <w:r w:rsidR="004D613F">
        <w:rPr>
          <w:lang w:eastAsia="zh-CN"/>
        </w:rPr>
        <w:t xml:space="preserve">international inbound trips to Australia in 2024, according to IVS data that captures </w:t>
      </w:r>
      <w:r w:rsidR="003A3D16">
        <w:rPr>
          <w:lang w:eastAsia="zh-CN"/>
        </w:rPr>
        <w:t>short-term</w:t>
      </w:r>
      <w:r w:rsidR="004D613F">
        <w:rPr>
          <w:lang w:eastAsia="zh-CN"/>
        </w:rPr>
        <w:t xml:space="preserve"> travellers </w:t>
      </w:r>
      <w:r w:rsidR="003A3D16">
        <w:rPr>
          <w:lang w:eastAsia="zh-CN"/>
        </w:rPr>
        <w:t>(</w:t>
      </w:r>
      <w:r w:rsidR="004D613F">
        <w:rPr>
          <w:lang w:eastAsia="zh-CN"/>
        </w:rPr>
        <w:t>aged 15</w:t>
      </w:r>
      <w:r w:rsidR="003A3D16">
        <w:rPr>
          <w:lang w:eastAsia="zh-CN"/>
        </w:rPr>
        <w:t>+)</w:t>
      </w:r>
      <w:r w:rsidR="004D613F">
        <w:rPr>
          <w:lang w:eastAsia="zh-CN"/>
        </w:rPr>
        <w:t>.</w:t>
      </w:r>
      <w:r w:rsidR="007E59DB">
        <w:rPr>
          <w:lang w:eastAsia="zh-CN"/>
        </w:rPr>
        <w:t xml:space="preserve"> </w:t>
      </w:r>
    </w:p>
    <w:p w14:paraId="15E8D94C" w14:textId="07CD1F16" w:rsidR="001C163D" w:rsidRDefault="001C163D" w:rsidP="00FB0467">
      <w:pPr>
        <w:rPr>
          <w:lang w:eastAsia="zh-CN"/>
        </w:rPr>
      </w:pPr>
      <w:r>
        <w:rPr>
          <w:lang w:eastAsia="zh-CN"/>
        </w:rPr>
        <w:t xml:space="preserve">Compared to 2023, </w:t>
      </w:r>
      <w:r w:rsidR="00BD2A80">
        <w:rPr>
          <w:lang w:eastAsia="zh-CN"/>
        </w:rPr>
        <w:t xml:space="preserve">in 2024 </w:t>
      </w:r>
      <w:r>
        <w:rPr>
          <w:lang w:eastAsia="zh-CN"/>
        </w:rPr>
        <w:t>there were:</w:t>
      </w:r>
    </w:p>
    <w:p w14:paraId="01E30257" w14:textId="404DE814" w:rsidR="001C163D" w:rsidRDefault="001C163D" w:rsidP="001C163D">
      <w:pPr>
        <w:pStyle w:val="BulletList"/>
        <w:rPr>
          <w:lang w:eastAsia="zh-CN"/>
        </w:rPr>
      </w:pPr>
      <w:r>
        <w:rPr>
          <w:lang w:eastAsia="zh-CN"/>
        </w:rPr>
        <w:t>2.4 million more domestic overnight trips (up 2.1%)</w:t>
      </w:r>
    </w:p>
    <w:p w14:paraId="668EFBE4" w14:textId="5016830C" w:rsidR="001C163D" w:rsidRDefault="00F94B8C" w:rsidP="001C163D">
      <w:pPr>
        <w:pStyle w:val="BulletList"/>
        <w:rPr>
          <w:lang w:eastAsia="zh-CN"/>
        </w:rPr>
      </w:pPr>
      <w:r>
        <w:rPr>
          <w:lang w:eastAsia="zh-CN"/>
        </w:rPr>
        <w:t>1.8 million more outbound trips (up 23%)</w:t>
      </w:r>
    </w:p>
    <w:p w14:paraId="5CA1DA57" w14:textId="632E3DF8" w:rsidR="00F94B8C" w:rsidRDefault="00F94B8C" w:rsidP="001C163D">
      <w:pPr>
        <w:pStyle w:val="BulletList"/>
        <w:rPr>
          <w:lang w:eastAsia="zh-CN"/>
        </w:rPr>
      </w:pPr>
      <w:r>
        <w:rPr>
          <w:lang w:eastAsia="zh-CN"/>
        </w:rPr>
        <w:t>Almost 1million more international visitor arrivals (up 15%)</w:t>
      </w:r>
      <w:r w:rsidR="00BD2A80">
        <w:rPr>
          <w:lang w:eastAsia="zh-CN"/>
        </w:rPr>
        <w:t>.</w:t>
      </w:r>
    </w:p>
    <w:p w14:paraId="136630FA" w14:textId="326D4AF7" w:rsidR="00CF2399" w:rsidRDefault="00CF2399" w:rsidP="004B0820">
      <w:pPr>
        <w:keepNext/>
      </w:pPr>
      <w:r>
        <w:rPr>
          <w:b/>
          <w:bCs/>
          <w:color w:val="300050" w:themeColor="text2"/>
        </w:rPr>
        <w:t xml:space="preserve">Figure </w:t>
      </w:r>
      <w:r>
        <w:rPr>
          <w:b/>
          <w:bCs/>
          <w:color w:val="300050" w:themeColor="text2"/>
        </w:rPr>
        <w:fldChar w:fldCharType="begin"/>
      </w:r>
      <w:r>
        <w:rPr>
          <w:b/>
          <w:bCs/>
          <w:color w:val="300050" w:themeColor="text2"/>
        </w:rPr>
        <w:instrText xml:space="preserve"> SEQ Figure \* ARABIC </w:instrText>
      </w:r>
      <w:r>
        <w:rPr>
          <w:b/>
          <w:bCs/>
          <w:color w:val="300050" w:themeColor="text2"/>
        </w:rPr>
        <w:fldChar w:fldCharType="separate"/>
      </w:r>
      <w:r w:rsidR="0043027D">
        <w:rPr>
          <w:b/>
          <w:bCs/>
          <w:noProof/>
          <w:color w:val="300050" w:themeColor="text2"/>
        </w:rPr>
        <w:t>2</w:t>
      </w:r>
      <w:r>
        <w:rPr>
          <w:b/>
          <w:bCs/>
          <w:color w:val="300050" w:themeColor="text2"/>
        </w:rPr>
        <w:fldChar w:fldCharType="end"/>
      </w:r>
      <w:r>
        <w:rPr>
          <w:b/>
          <w:bCs/>
          <w:color w:val="300050" w:themeColor="text2"/>
        </w:rPr>
        <w:t>.</w:t>
      </w:r>
      <w:r>
        <w:rPr>
          <w:b/>
          <w:bCs/>
          <w:i/>
          <w:iCs/>
        </w:rPr>
        <w:t xml:space="preserve"> </w:t>
      </w:r>
      <w:r>
        <w:rPr>
          <w:color w:val="300050" w:themeColor="text2"/>
        </w:rPr>
        <w:t>Number of visitors travelling in</w:t>
      </w:r>
      <w:r w:rsidR="00FC476B">
        <w:rPr>
          <w:color w:val="300050" w:themeColor="text2"/>
        </w:rPr>
        <w:t xml:space="preserve"> </w:t>
      </w:r>
      <w:r>
        <w:rPr>
          <w:color w:val="300050" w:themeColor="text2"/>
        </w:rPr>
        <w:t>Australia in 2024</w:t>
      </w:r>
      <w:r w:rsidR="00817E7E">
        <w:rPr>
          <w:color w:val="300050" w:themeColor="text2"/>
        </w:rPr>
        <w:t xml:space="preserve"> (top panel) and spend by visitor type in 2024</w:t>
      </w:r>
      <w:r w:rsidR="00FC476B">
        <w:rPr>
          <w:color w:val="300050" w:themeColor="text2"/>
        </w:rPr>
        <w:t xml:space="preserve"> (bottom panel)</w:t>
      </w:r>
      <w:r>
        <w:rPr>
          <w:color w:val="300050" w:themeColor="text2"/>
        </w:rPr>
        <w:t>.</w:t>
      </w:r>
    </w:p>
    <w:p w14:paraId="0A05BB54" w14:textId="2DCE41FF" w:rsidR="00FE1348" w:rsidRDefault="00B36B25" w:rsidP="00276A00">
      <w:pPr>
        <w:spacing w:line="240" w:lineRule="atLeast"/>
        <w:jc w:val="center"/>
        <w:rPr>
          <w:lang w:eastAsia="zh-CN"/>
        </w:rPr>
      </w:pPr>
      <w:r w:rsidRPr="00B36B25">
        <w:rPr>
          <w:noProof/>
        </w:rPr>
        <w:drawing>
          <wp:inline distT="0" distB="0" distL="0" distR="0" wp14:anchorId="609B96F0" wp14:editId="4A3551BD">
            <wp:extent cx="5414400" cy="5029200"/>
            <wp:effectExtent l="0" t="0" r="0" b="0"/>
            <wp:docPr id="580316227" name="Picture 2" descr="This figure presents two bar charts. The top bar chart shows the number of trips taken in 2024 for the 4 categories of domestic overnight trips (115 million), domestic day trips (201 million), international trips to Australia (7.6 million) and Australian outbound trips (9.9 million). The bottom bar chart shows the value of spend in 2024 for the same 4 categories of travel: domestic overnight trips ($110 billion), domestic day trips ($31 billion), international trips to Australia ($33 billion) and Australian outbound trips ($87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16227" name="Picture 2" descr="This figure presents two bar charts. The top bar chart shows the number of trips taken in 2024 for the 4 categories of domestic overnight trips (115 million), domestic day trips (201 million), international trips to Australia (7.6 million) and Australian outbound trips (9.9 million). The bottom bar chart shows the value of spend in 2024 for the same 4 categories of travel: domestic overnight trips ($110 billion), domestic day trips ($31 billion), international trips to Australia ($33 billion) and Australian outbound trips ($87 bill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400" cy="5029200"/>
                    </a:xfrm>
                    <a:prstGeom prst="rect">
                      <a:avLst/>
                    </a:prstGeom>
                    <a:noFill/>
                    <a:ln>
                      <a:noFill/>
                    </a:ln>
                  </pic:spPr>
                </pic:pic>
              </a:graphicData>
            </a:graphic>
          </wp:inline>
        </w:drawing>
      </w:r>
    </w:p>
    <w:p w14:paraId="1C1799A1" w14:textId="1479CE34" w:rsidR="003077FE" w:rsidRDefault="003077FE" w:rsidP="00851B84">
      <w:pPr>
        <w:pStyle w:val="Heading3"/>
        <w:keepNext/>
        <w:rPr>
          <w:lang w:eastAsia="zh-CN"/>
        </w:rPr>
      </w:pPr>
      <w:bookmarkStart w:id="15" w:name="_Toc200703617"/>
      <w:r>
        <w:rPr>
          <w:lang w:eastAsia="zh-CN"/>
        </w:rPr>
        <w:lastRenderedPageBreak/>
        <w:t>Domestic overnight trips</w:t>
      </w:r>
      <w:bookmarkEnd w:id="15"/>
    </w:p>
    <w:p w14:paraId="16FAA91D" w14:textId="77777777" w:rsidR="002D2BE5" w:rsidRPr="002D2BE5" w:rsidRDefault="002D2BE5" w:rsidP="002D2BE5">
      <w:pPr>
        <w:rPr>
          <w:lang w:eastAsia="zh-CN"/>
        </w:rPr>
      </w:pPr>
      <w:r w:rsidRPr="002D2BE5">
        <w:rPr>
          <w:lang w:eastAsia="zh-CN"/>
        </w:rPr>
        <w:t>Australians continued to travel domestically in high numbers in 2024, reflecting a persistently strong appetite for travel. Despite soft discretionary spend, various measures indicate that consumer travel intentions have held up, demonstrating an enduring and compelling desire for Australians to travel to connect, explore, unwind and recharge.</w:t>
      </w:r>
    </w:p>
    <w:p w14:paraId="29367D4D" w14:textId="77777777" w:rsidR="002D2BE5" w:rsidRPr="002D2BE5" w:rsidRDefault="002D2BE5" w:rsidP="002D2BE5">
      <w:pPr>
        <w:rPr>
          <w:lang w:eastAsia="zh-CN"/>
        </w:rPr>
      </w:pPr>
      <w:r w:rsidRPr="002D2BE5">
        <w:rPr>
          <w:lang w:eastAsia="zh-CN"/>
        </w:rPr>
        <w:t>Nevertheless, travellers made efforts to manage travel costs by adjusting travel arrangements such as when, where, and how they travel. This included travelling closer to home, taking shorter trips to reduce the total spend on trips, and reducing spend on some travel-related components such as tours and restaurant meals.</w:t>
      </w:r>
    </w:p>
    <w:p w14:paraId="786D1FA8" w14:textId="25E36FD9" w:rsidR="000457E5" w:rsidRPr="000457E5" w:rsidRDefault="002A015A" w:rsidP="000457E5">
      <w:pPr>
        <w:rPr>
          <w:lang w:eastAsia="zh-CN"/>
        </w:rPr>
      </w:pPr>
      <w:r>
        <w:rPr>
          <w:lang w:eastAsia="zh-CN"/>
        </w:rPr>
        <w:t>Domestic overnight trips</w:t>
      </w:r>
      <w:r w:rsidR="00DC6975">
        <w:rPr>
          <w:lang w:eastAsia="zh-CN"/>
        </w:rPr>
        <w:t xml:space="preserve"> generated over $110 billion in spend for the visitor economy in 2024</w:t>
      </w:r>
      <w:r w:rsidR="00696BB5">
        <w:rPr>
          <w:lang w:eastAsia="zh-CN"/>
        </w:rPr>
        <w:t xml:space="preserve">. </w:t>
      </w:r>
      <w:r w:rsidR="00DC6975">
        <w:rPr>
          <w:lang w:eastAsia="zh-CN"/>
        </w:rPr>
        <w:t>Of that spend</w:t>
      </w:r>
      <w:r>
        <w:rPr>
          <w:lang w:eastAsia="zh-CN"/>
        </w:rPr>
        <w:t>,</w:t>
      </w:r>
      <w:r w:rsidR="00DC6975">
        <w:rPr>
          <w:lang w:eastAsia="zh-CN"/>
        </w:rPr>
        <w:t xml:space="preserve"> more than half came from holiday trips</w:t>
      </w:r>
      <w:r w:rsidR="002C72AB">
        <w:rPr>
          <w:lang w:eastAsia="zh-CN"/>
        </w:rPr>
        <w:t xml:space="preserve"> and one-quarter came from business trips</w:t>
      </w:r>
      <w:r w:rsidR="00684866">
        <w:rPr>
          <w:lang w:eastAsia="zh-CN"/>
        </w:rPr>
        <w:t xml:space="preserve"> (Figure 3)</w:t>
      </w:r>
      <w:r w:rsidR="002C72AB">
        <w:rPr>
          <w:lang w:eastAsia="zh-CN"/>
        </w:rPr>
        <w:t xml:space="preserve">. The remaining quarter was accounted for by overnight trips to visit friends or relatives (VFR) or for other reasons. </w:t>
      </w:r>
      <w:r w:rsidR="000457E5" w:rsidRPr="000457E5">
        <w:rPr>
          <w:lang w:eastAsia="zh-CN"/>
        </w:rPr>
        <w:t>Domestic overnight holiday spend declined slightly in 2024, but it was more than offset by an increase in spend</w:t>
      </w:r>
      <w:r w:rsidR="000457E5">
        <w:rPr>
          <w:lang w:eastAsia="zh-CN"/>
        </w:rPr>
        <w:t xml:space="preserve"> </w:t>
      </w:r>
      <w:r w:rsidR="006D1010">
        <w:rPr>
          <w:lang w:eastAsia="zh-CN"/>
        </w:rPr>
        <w:t xml:space="preserve">by trips for all the </w:t>
      </w:r>
      <w:r w:rsidR="000457E5">
        <w:rPr>
          <w:lang w:eastAsia="zh-CN"/>
        </w:rPr>
        <w:t xml:space="preserve">other </w:t>
      </w:r>
      <w:r w:rsidR="006D1010">
        <w:rPr>
          <w:lang w:eastAsia="zh-CN"/>
        </w:rPr>
        <w:t>purposes including business trips</w:t>
      </w:r>
      <w:r w:rsidR="000457E5" w:rsidRPr="000457E5">
        <w:rPr>
          <w:lang w:eastAsia="zh-CN"/>
        </w:rPr>
        <w:t>.</w:t>
      </w:r>
    </w:p>
    <w:p w14:paraId="40265588" w14:textId="50E98349" w:rsidR="0030624B" w:rsidRDefault="0030624B" w:rsidP="0030624B">
      <w:pPr>
        <w:rPr>
          <w:lang w:eastAsia="zh-CN"/>
        </w:rPr>
      </w:pPr>
      <w:r>
        <w:rPr>
          <w:lang w:eastAsia="zh-CN"/>
        </w:rPr>
        <w:t xml:space="preserve">On average, in 2024, Australians took </w:t>
      </w:r>
      <w:r w:rsidR="00936F13">
        <w:rPr>
          <w:lang w:eastAsia="zh-CN"/>
        </w:rPr>
        <w:t>twice as many</w:t>
      </w:r>
      <w:r>
        <w:rPr>
          <w:lang w:eastAsia="zh-CN"/>
        </w:rPr>
        <w:t xml:space="preserve"> domestic overnight holidays</w:t>
      </w:r>
      <w:r w:rsidR="00936F13">
        <w:rPr>
          <w:lang w:eastAsia="zh-CN"/>
        </w:rPr>
        <w:t xml:space="preserve"> as business trips (2.2 holidays and 1.1 business trips)</w:t>
      </w:r>
      <w:r w:rsidR="00DE4D61">
        <w:rPr>
          <w:lang w:eastAsia="zh-CN"/>
        </w:rPr>
        <w:t xml:space="preserve">. They also took </w:t>
      </w:r>
      <w:r w:rsidR="004A57C2">
        <w:rPr>
          <w:lang w:eastAsia="zh-CN"/>
        </w:rPr>
        <w:t xml:space="preserve">1.7 </w:t>
      </w:r>
      <w:r w:rsidR="005F1130">
        <w:rPr>
          <w:lang w:eastAsia="zh-CN"/>
        </w:rPr>
        <w:t xml:space="preserve">domestic overnight trips for </w:t>
      </w:r>
      <w:r w:rsidR="00DE4D61">
        <w:rPr>
          <w:lang w:eastAsia="zh-CN"/>
        </w:rPr>
        <w:t>VFR</w:t>
      </w:r>
      <w:r w:rsidR="005F1130">
        <w:rPr>
          <w:lang w:eastAsia="zh-CN"/>
        </w:rPr>
        <w:t xml:space="preserve"> purposes</w:t>
      </w:r>
      <w:r w:rsidR="00DE4D61">
        <w:rPr>
          <w:lang w:eastAsia="zh-CN"/>
        </w:rPr>
        <w:t xml:space="preserve"> and 0.3 </w:t>
      </w:r>
      <w:r w:rsidR="005F1130">
        <w:rPr>
          <w:lang w:eastAsia="zh-CN"/>
        </w:rPr>
        <w:t xml:space="preserve">for </w:t>
      </w:r>
      <w:r w:rsidR="00DE4D61">
        <w:rPr>
          <w:lang w:eastAsia="zh-CN"/>
        </w:rPr>
        <w:t>other reasons</w:t>
      </w:r>
      <w:r w:rsidR="005F1130">
        <w:rPr>
          <w:lang w:eastAsia="zh-CN"/>
        </w:rPr>
        <w:t>.</w:t>
      </w:r>
    </w:p>
    <w:p w14:paraId="23262A63" w14:textId="37CACA27" w:rsidR="00684866" w:rsidRDefault="00684866" w:rsidP="00684866">
      <w:pPr>
        <w:pStyle w:val="ListBullet"/>
        <w:keepNext/>
        <w:numPr>
          <w:ilvl w:val="0"/>
          <w:numId w:val="0"/>
        </w:numPr>
        <w:spacing w:line="300" w:lineRule="atLeast"/>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43027D">
        <w:rPr>
          <w:rFonts w:ascii="Verdana" w:eastAsiaTheme="minorHAnsi" w:hAnsi="Verdana"/>
          <w:b/>
          <w:bCs/>
          <w:noProof/>
          <w:color w:val="300050" w:themeColor="text2"/>
          <w:lang w:eastAsia="en-US"/>
        </w:rPr>
        <w:t>3</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Pr>
          <w:rFonts w:ascii="Verdana" w:eastAsiaTheme="minorHAnsi" w:hAnsi="Verdana"/>
          <w:color w:val="300050" w:themeColor="text2"/>
          <w:lang w:eastAsia="en-US"/>
        </w:rPr>
        <w:t>Spend on domestic overnight trips by purpose in Australia in 2024.</w:t>
      </w:r>
    </w:p>
    <w:p w14:paraId="1174AB88" w14:textId="432849EF" w:rsidR="002A015A" w:rsidRDefault="005A1AB3" w:rsidP="00F95AFF">
      <w:pPr>
        <w:spacing w:line="240" w:lineRule="atLeast"/>
        <w:jc w:val="center"/>
        <w:rPr>
          <w:lang w:eastAsia="zh-CN"/>
        </w:rPr>
      </w:pPr>
      <w:r w:rsidRPr="005A1AB3">
        <w:rPr>
          <w:noProof/>
        </w:rPr>
        <w:drawing>
          <wp:inline distT="0" distB="0" distL="0" distR="0" wp14:anchorId="2D60FF47" wp14:editId="1541C1BB">
            <wp:extent cx="5932800" cy="3823200"/>
            <wp:effectExtent l="0" t="0" r="0" b="6350"/>
            <wp:docPr id="812158445" name="Picture 4" descr="This pie chart shows the breakdown of domestic overnight spend by purpose of travel in 2024. Holiday accounted for just over half of domestic overnight spend (52%, at $57.3 billion, down $0.4 billion (-0.7%) on 2023). Business was the second largest category of spend (25%, at $27.1 billion, up $0.8 billion (3%) 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58445" name="Picture 4" descr="This pie chart shows the breakdown of domestic overnight spend by purpose of travel in 2024. Holiday accounted for just over half of domestic overnight spend (52%, at $57.3 billion, down $0.4 billion (-0.7%) on 2023). Business was the second largest category of spend (25%, at $27.1 billion, up $0.8 billion (3%) on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0" cy="3823200"/>
                    </a:xfrm>
                    <a:prstGeom prst="rect">
                      <a:avLst/>
                    </a:prstGeom>
                    <a:noFill/>
                    <a:ln>
                      <a:noFill/>
                    </a:ln>
                  </pic:spPr>
                </pic:pic>
              </a:graphicData>
            </a:graphic>
          </wp:inline>
        </w:drawing>
      </w:r>
    </w:p>
    <w:p w14:paraId="3ECB1C4E" w14:textId="6D6EC90C" w:rsidR="0007566E" w:rsidRDefault="0007566E" w:rsidP="00F95AFF">
      <w:pPr>
        <w:spacing w:line="240" w:lineRule="atLeast"/>
        <w:jc w:val="center"/>
        <w:rPr>
          <w:lang w:eastAsia="zh-CN"/>
        </w:rPr>
      </w:pPr>
    </w:p>
    <w:p w14:paraId="031901DA" w14:textId="55A3D285" w:rsidR="001A6124" w:rsidRDefault="001A6124" w:rsidP="00EC55E2">
      <w:pPr>
        <w:pStyle w:val="Heading4"/>
        <w:keepNext/>
        <w:spacing w:before="0"/>
        <w:rPr>
          <w:lang w:eastAsia="zh-CN"/>
        </w:rPr>
      </w:pPr>
      <w:r>
        <w:rPr>
          <w:lang w:eastAsia="zh-CN"/>
        </w:rPr>
        <w:lastRenderedPageBreak/>
        <w:t xml:space="preserve">Domestic holiday trips </w:t>
      </w:r>
    </w:p>
    <w:p w14:paraId="09501EF1" w14:textId="521BE8A4" w:rsidR="00710B4D" w:rsidRDefault="00C70708" w:rsidP="00AF57B9">
      <w:pPr>
        <w:rPr>
          <w:lang w:eastAsia="zh-CN"/>
        </w:rPr>
      </w:pPr>
      <w:r>
        <w:rPr>
          <w:lang w:eastAsia="zh-CN"/>
        </w:rPr>
        <w:t xml:space="preserve">Compared with the previous year, Australians </w:t>
      </w:r>
      <w:r w:rsidR="00100C66">
        <w:rPr>
          <w:lang w:eastAsia="zh-CN"/>
        </w:rPr>
        <w:t>were just as likely to take a</w:t>
      </w:r>
      <w:r w:rsidR="00100C66" w:rsidRPr="00100C66">
        <w:rPr>
          <w:lang w:eastAsia="zh-CN"/>
        </w:rPr>
        <w:t xml:space="preserve"> </w:t>
      </w:r>
      <w:r w:rsidR="00100C66">
        <w:rPr>
          <w:lang w:eastAsia="zh-CN"/>
        </w:rPr>
        <w:t>domestic overnight holiday trips in 2024</w:t>
      </w:r>
      <w:r w:rsidR="00695DE7">
        <w:rPr>
          <w:lang w:eastAsia="zh-CN"/>
        </w:rPr>
        <w:t>. There were</w:t>
      </w:r>
      <w:r w:rsidR="009149F6">
        <w:rPr>
          <w:lang w:eastAsia="zh-CN"/>
        </w:rPr>
        <w:t>,</w:t>
      </w:r>
      <w:r w:rsidR="00695DE7">
        <w:rPr>
          <w:lang w:eastAsia="zh-CN"/>
        </w:rPr>
        <w:t xml:space="preserve"> </w:t>
      </w:r>
      <w:r w:rsidR="009149F6">
        <w:rPr>
          <w:lang w:eastAsia="zh-CN"/>
        </w:rPr>
        <w:t>on</w:t>
      </w:r>
      <w:r w:rsidR="00695DE7">
        <w:rPr>
          <w:lang w:eastAsia="zh-CN"/>
        </w:rPr>
        <w:t xml:space="preserve"> average</w:t>
      </w:r>
      <w:r w:rsidR="009149F6">
        <w:rPr>
          <w:lang w:eastAsia="zh-CN"/>
        </w:rPr>
        <w:t>,</w:t>
      </w:r>
      <w:r w:rsidR="00695DE7">
        <w:rPr>
          <w:lang w:eastAsia="zh-CN"/>
        </w:rPr>
        <w:t xml:space="preserve"> </w:t>
      </w:r>
      <w:r w:rsidR="00100C66">
        <w:rPr>
          <w:lang w:eastAsia="zh-CN"/>
        </w:rPr>
        <w:t xml:space="preserve">2.2 </w:t>
      </w:r>
      <w:r w:rsidR="00695DE7">
        <w:rPr>
          <w:lang w:eastAsia="zh-CN"/>
        </w:rPr>
        <w:t xml:space="preserve">domestic holiday </w:t>
      </w:r>
      <w:r w:rsidR="00100C66">
        <w:rPr>
          <w:lang w:eastAsia="zh-CN"/>
        </w:rPr>
        <w:t xml:space="preserve">trips </w:t>
      </w:r>
      <w:r w:rsidR="00695DE7">
        <w:rPr>
          <w:lang w:eastAsia="zh-CN"/>
        </w:rPr>
        <w:t xml:space="preserve">per person </w:t>
      </w:r>
      <w:r w:rsidR="00100C66">
        <w:rPr>
          <w:lang w:eastAsia="zh-CN"/>
        </w:rPr>
        <w:t>in 2024</w:t>
      </w:r>
      <w:r w:rsidR="00B355C7">
        <w:rPr>
          <w:lang w:eastAsia="zh-CN"/>
        </w:rPr>
        <w:t xml:space="preserve"> which was unchanged from 2023</w:t>
      </w:r>
      <w:r w:rsidR="00695DE7">
        <w:rPr>
          <w:lang w:eastAsia="zh-CN"/>
        </w:rPr>
        <w:t>.</w:t>
      </w:r>
      <w:r w:rsidR="00C94244">
        <w:rPr>
          <w:lang w:eastAsia="zh-CN"/>
        </w:rPr>
        <w:t xml:space="preserve"> However, o</w:t>
      </w:r>
      <w:r>
        <w:rPr>
          <w:lang w:eastAsia="zh-CN"/>
        </w:rPr>
        <w:t>n average, those trips were slightly shorter</w:t>
      </w:r>
      <w:r w:rsidR="00B355C7">
        <w:rPr>
          <w:lang w:eastAsia="zh-CN"/>
        </w:rPr>
        <w:t xml:space="preserve"> in 2024</w:t>
      </w:r>
      <w:r>
        <w:rPr>
          <w:lang w:eastAsia="zh-CN"/>
        </w:rPr>
        <w:t xml:space="preserve">, 3.5 nights compared with </w:t>
      </w:r>
      <w:r w:rsidR="008842C2">
        <w:rPr>
          <w:lang w:eastAsia="zh-CN"/>
        </w:rPr>
        <w:t xml:space="preserve">3.7 nights the previous year, and </w:t>
      </w:r>
      <w:r w:rsidR="00055FBE">
        <w:rPr>
          <w:lang w:eastAsia="zh-CN"/>
        </w:rPr>
        <w:t>average</w:t>
      </w:r>
      <w:r w:rsidR="008842C2">
        <w:rPr>
          <w:lang w:eastAsia="zh-CN"/>
        </w:rPr>
        <w:t xml:space="preserve"> trip spend </w:t>
      </w:r>
      <w:r w:rsidR="00C01F7F">
        <w:rPr>
          <w:lang w:eastAsia="zh-CN"/>
        </w:rPr>
        <w:t>was lower</w:t>
      </w:r>
      <w:r w:rsidR="008842C2">
        <w:rPr>
          <w:lang w:eastAsia="zh-CN"/>
        </w:rPr>
        <w:t xml:space="preserve"> </w:t>
      </w:r>
      <w:r w:rsidR="00055FBE">
        <w:rPr>
          <w:lang w:eastAsia="zh-CN"/>
        </w:rPr>
        <w:t>(</w:t>
      </w:r>
      <w:r w:rsidR="008842C2">
        <w:rPr>
          <w:lang w:eastAsia="zh-CN"/>
        </w:rPr>
        <w:t xml:space="preserve">$1,170 </w:t>
      </w:r>
      <w:r w:rsidR="00055FBE">
        <w:rPr>
          <w:lang w:eastAsia="zh-CN"/>
        </w:rPr>
        <w:t>per trip in 2024, compared with $1</w:t>
      </w:r>
      <w:r w:rsidR="00C01F7F">
        <w:rPr>
          <w:lang w:eastAsia="zh-CN"/>
        </w:rPr>
        <w:t>,211</w:t>
      </w:r>
      <w:r w:rsidR="00055FBE">
        <w:rPr>
          <w:lang w:eastAsia="zh-CN"/>
        </w:rPr>
        <w:t xml:space="preserve"> in 2023).</w:t>
      </w:r>
      <w:r w:rsidR="00F013B9">
        <w:rPr>
          <w:lang w:eastAsia="zh-CN"/>
        </w:rPr>
        <w:t xml:space="preserve"> This indicates that </w:t>
      </w:r>
      <w:r w:rsidR="00BE7F2C">
        <w:rPr>
          <w:lang w:eastAsia="zh-CN"/>
        </w:rPr>
        <w:t xml:space="preserve">despite household budget pressures </w:t>
      </w:r>
      <w:r w:rsidR="00C30C4B">
        <w:rPr>
          <w:lang w:eastAsia="zh-CN"/>
        </w:rPr>
        <w:t xml:space="preserve">over recent years, </w:t>
      </w:r>
      <w:r w:rsidR="00F013B9">
        <w:rPr>
          <w:lang w:eastAsia="zh-CN"/>
        </w:rPr>
        <w:t xml:space="preserve">Australians </w:t>
      </w:r>
      <w:r w:rsidR="00BE7F2C">
        <w:rPr>
          <w:lang w:eastAsia="zh-CN"/>
        </w:rPr>
        <w:t xml:space="preserve">have </w:t>
      </w:r>
      <w:r w:rsidR="00F013B9">
        <w:rPr>
          <w:lang w:eastAsia="zh-CN"/>
        </w:rPr>
        <w:t>continue</w:t>
      </w:r>
      <w:r w:rsidR="00BE7F2C">
        <w:rPr>
          <w:lang w:eastAsia="zh-CN"/>
        </w:rPr>
        <w:t>d</w:t>
      </w:r>
      <w:r w:rsidR="00F013B9">
        <w:rPr>
          <w:lang w:eastAsia="zh-CN"/>
        </w:rPr>
        <w:t xml:space="preserve"> to </w:t>
      </w:r>
      <w:r w:rsidR="00BE7F2C">
        <w:rPr>
          <w:lang w:eastAsia="zh-CN"/>
        </w:rPr>
        <w:t>travel around Australia</w:t>
      </w:r>
      <w:r w:rsidR="002A16C2">
        <w:rPr>
          <w:lang w:eastAsia="zh-CN"/>
        </w:rPr>
        <w:t xml:space="preserve">. While they continue to take </w:t>
      </w:r>
      <w:r w:rsidR="002C39D5">
        <w:rPr>
          <w:lang w:eastAsia="zh-CN"/>
        </w:rPr>
        <w:t xml:space="preserve">multiple </w:t>
      </w:r>
      <w:r w:rsidR="002A16C2">
        <w:rPr>
          <w:lang w:eastAsia="zh-CN"/>
        </w:rPr>
        <w:t>holidays</w:t>
      </w:r>
      <w:r w:rsidR="002C39D5">
        <w:rPr>
          <w:lang w:eastAsia="zh-CN"/>
        </w:rPr>
        <w:t xml:space="preserve"> per year</w:t>
      </w:r>
      <w:r w:rsidR="002A16C2">
        <w:rPr>
          <w:lang w:eastAsia="zh-CN"/>
        </w:rPr>
        <w:t>, Australians have addressed budget concerns by reducing the length of their trip</w:t>
      </w:r>
      <w:r w:rsidR="002C39D5">
        <w:rPr>
          <w:lang w:eastAsia="zh-CN"/>
        </w:rPr>
        <w:t>s</w:t>
      </w:r>
      <w:r w:rsidR="002A16C2">
        <w:rPr>
          <w:lang w:eastAsia="zh-CN"/>
        </w:rPr>
        <w:t xml:space="preserve"> and </w:t>
      </w:r>
      <w:r w:rsidR="00F545C7">
        <w:rPr>
          <w:lang w:eastAsia="zh-CN"/>
        </w:rPr>
        <w:t>pulling back on</w:t>
      </w:r>
      <w:r w:rsidR="002C39D5">
        <w:rPr>
          <w:lang w:eastAsia="zh-CN"/>
        </w:rPr>
        <w:t xml:space="preserve"> spend</w:t>
      </w:r>
      <w:r w:rsidR="00F545C7">
        <w:rPr>
          <w:lang w:eastAsia="zh-CN"/>
        </w:rPr>
        <w:t>ing while travelling</w:t>
      </w:r>
      <w:r w:rsidR="00F013B9">
        <w:rPr>
          <w:lang w:eastAsia="zh-CN"/>
        </w:rPr>
        <w:t>.</w:t>
      </w:r>
    </w:p>
    <w:p w14:paraId="05D4B8E3" w14:textId="248C6554" w:rsidR="004B0820" w:rsidRDefault="00AF57B9" w:rsidP="00AF57B9">
      <w:pPr>
        <w:rPr>
          <w:lang w:eastAsia="zh-CN"/>
        </w:rPr>
      </w:pPr>
      <w:r>
        <w:rPr>
          <w:lang w:eastAsia="zh-CN"/>
        </w:rPr>
        <w:t>The cohort aged 45</w:t>
      </w:r>
      <w:r w:rsidR="00426A97">
        <w:rPr>
          <w:lang w:eastAsia="zh-CN"/>
        </w:rPr>
        <w:t xml:space="preserve"> to </w:t>
      </w:r>
      <w:r>
        <w:rPr>
          <w:lang w:eastAsia="zh-CN"/>
        </w:rPr>
        <w:t>59 years took on average the most domestic overnight holiday trips in 2024 (2.6 domestic overnight holiday trips in the year). That cohort was also likely to spend more than the average on the</w:t>
      </w:r>
      <w:r w:rsidR="005C3714">
        <w:rPr>
          <w:lang w:eastAsia="zh-CN"/>
        </w:rPr>
        <w:t xml:space="preserve">ir </w:t>
      </w:r>
      <w:r>
        <w:rPr>
          <w:lang w:eastAsia="zh-CN"/>
        </w:rPr>
        <w:t>trip and spend more per night (Table 1</w:t>
      </w:r>
      <w:r w:rsidR="00D00046" w:rsidRPr="00D00046">
        <w:rPr>
          <w:lang w:eastAsia="zh-CN"/>
        </w:rPr>
        <w:t xml:space="preserve"> </w:t>
      </w:r>
      <w:r w:rsidR="00D00046">
        <w:rPr>
          <w:lang w:eastAsia="zh-CN"/>
        </w:rPr>
        <w:t>and Figure 4</w:t>
      </w:r>
      <w:r>
        <w:rPr>
          <w:lang w:eastAsia="zh-CN"/>
        </w:rPr>
        <w:t xml:space="preserve">). </w:t>
      </w:r>
    </w:p>
    <w:p w14:paraId="240D7CA0" w14:textId="15A5496D" w:rsidR="002865F6" w:rsidRPr="000E0B97" w:rsidRDefault="000C193C" w:rsidP="000E0B97">
      <w:pPr>
        <w:pStyle w:val="ListBullet"/>
        <w:keepNext/>
        <w:numPr>
          <w:ilvl w:val="0"/>
          <w:numId w:val="0"/>
        </w:numPr>
        <w:spacing w:after="120" w:line="300" w:lineRule="atLeast"/>
        <w:rPr>
          <w:rFonts w:ascii="Verdana" w:eastAsiaTheme="minorHAnsi" w:hAnsi="Verdana"/>
          <w:b/>
          <w:bCs/>
          <w:color w:val="300050" w:themeColor="text2"/>
          <w:lang w:eastAsia="en-US"/>
        </w:rPr>
      </w:pPr>
      <w:r w:rsidRPr="000E0B97">
        <w:rPr>
          <w:rFonts w:ascii="Verdana" w:eastAsiaTheme="minorHAnsi" w:hAnsi="Verdana"/>
          <w:b/>
          <w:bCs/>
          <w:color w:val="300050" w:themeColor="text2"/>
          <w:lang w:eastAsia="en-US"/>
        </w:rPr>
        <w:t>Table</w:t>
      </w:r>
      <w:r w:rsidR="000E0B97">
        <w:rPr>
          <w:rFonts w:ascii="Verdana" w:eastAsiaTheme="minorHAnsi" w:hAnsi="Verdana"/>
          <w:b/>
          <w:bCs/>
          <w:color w:val="300050" w:themeColor="text2"/>
          <w:lang w:eastAsia="en-US"/>
        </w:rPr>
        <w:t xml:space="preserve"> 1</w:t>
      </w:r>
      <w:r w:rsidRPr="000E0B97">
        <w:rPr>
          <w:rFonts w:ascii="Verdana" w:eastAsiaTheme="minorHAnsi" w:hAnsi="Verdana"/>
          <w:b/>
          <w:bCs/>
          <w:color w:val="300050" w:themeColor="text2"/>
          <w:lang w:eastAsia="en-US"/>
        </w:rPr>
        <w:t xml:space="preserve">: </w:t>
      </w:r>
      <w:r w:rsidRPr="000E0B97">
        <w:rPr>
          <w:rFonts w:ascii="Verdana" w:eastAsiaTheme="minorHAnsi" w:hAnsi="Verdana"/>
          <w:color w:val="300050" w:themeColor="text2"/>
          <w:lang w:eastAsia="en-US"/>
        </w:rPr>
        <w:t xml:space="preserve">Domestic overnight </w:t>
      </w:r>
      <w:r w:rsidR="003E1ADE" w:rsidRPr="003E1ADE">
        <w:rPr>
          <w:rFonts w:ascii="Verdana" w:eastAsiaTheme="minorHAnsi" w:hAnsi="Verdana"/>
          <w:b/>
          <w:bCs/>
          <w:color w:val="300050" w:themeColor="text2"/>
          <w:lang w:eastAsia="en-US"/>
        </w:rPr>
        <w:t>holiday</w:t>
      </w:r>
      <w:r w:rsidR="003E1ADE">
        <w:rPr>
          <w:rFonts w:ascii="Verdana" w:eastAsiaTheme="minorHAnsi" w:hAnsi="Verdana"/>
          <w:color w:val="300050" w:themeColor="text2"/>
          <w:lang w:eastAsia="en-US"/>
        </w:rPr>
        <w:t xml:space="preserve"> </w:t>
      </w:r>
      <w:r w:rsidRPr="000E0B97">
        <w:rPr>
          <w:rFonts w:ascii="Verdana" w:eastAsiaTheme="minorHAnsi" w:hAnsi="Verdana"/>
          <w:color w:val="300050" w:themeColor="text2"/>
          <w:lang w:eastAsia="en-US"/>
        </w:rPr>
        <w:t>trip characteristics by age cohort in Australia in 2024.</w:t>
      </w:r>
    </w:p>
    <w:tbl>
      <w:tblPr>
        <w:tblStyle w:val="TableGrid"/>
        <w:tblW w:w="0" w:type="auto"/>
        <w:tblLook w:val="04A0" w:firstRow="1" w:lastRow="0" w:firstColumn="1" w:lastColumn="0" w:noHBand="0" w:noVBand="1"/>
        <w:tblCaption w:val="Domestic overnight holiday trip characteristics by age cohort in Australia in 2024"/>
        <w:tblDescription w:val="Table shows the following information for 5 age cohorts (aged 15 to 29 years, 30 to 44 years, 45 to 59 years, 60 to 74 years, and 75+years) and for the total: Australian estimated population, trips per person, spend per trip, nights per trip, and spend per night on domestic overnight holiday trips in 2024."/>
      </w:tblPr>
      <w:tblGrid>
        <w:gridCol w:w="1262"/>
        <w:gridCol w:w="1780"/>
        <w:gridCol w:w="1915"/>
        <w:gridCol w:w="1701"/>
        <w:gridCol w:w="1701"/>
        <w:gridCol w:w="1599"/>
      </w:tblGrid>
      <w:tr w:rsidR="002F70C3" w:rsidRPr="003A58AB" w14:paraId="4D257CB5" w14:textId="4BB8F1E5" w:rsidTr="001072F1">
        <w:trPr>
          <w:trHeight w:val="1287"/>
          <w:tblHeader/>
        </w:trPr>
        <w:tc>
          <w:tcPr>
            <w:tcW w:w="1262" w:type="dxa"/>
            <w:shd w:val="clear" w:color="auto" w:fill="300050" w:themeFill="text2"/>
            <w:vAlign w:val="center"/>
          </w:tcPr>
          <w:p w14:paraId="2266B536" w14:textId="2AB3EAD6" w:rsidR="002F70C3" w:rsidRPr="003A58AB" w:rsidRDefault="002F70C3" w:rsidP="001072F1">
            <w:pPr>
              <w:spacing w:before="0" w:after="120" w:line="240" w:lineRule="auto"/>
              <w:rPr>
                <w:b/>
                <w:color w:val="FFFFFF" w:themeColor="background1"/>
              </w:rPr>
            </w:pPr>
            <w:r>
              <w:rPr>
                <w:b/>
                <w:color w:val="FFFFFF" w:themeColor="background1"/>
              </w:rPr>
              <w:t>Age group</w:t>
            </w:r>
          </w:p>
        </w:tc>
        <w:tc>
          <w:tcPr>
            <w:tcW w:w="1780" w:type="dxa"/>
            <w:shd w:val="clear" w:color="auto" w:fill="300050" w:themeFill="text2"/>
            <w:vAlign w:val="center"/>
          </w:tcPr>
          <w:p w14:paraId="1B83CD21" w14:textId="77777777" w:rsidR="002F70C3" w:rsidRDefault="002F70C3" w:rsidP="001072F1">
            <w:pPr>
              <w:spacing w:before="0" w:after="120" w:line="240" w:lineRule="auto"/>
              <w:jc w:val="center"/>
              <w:rPr>
                <w:b/>
                <w:color w:val="FFFFFF" w:themeColor="background1"/>
              </w:rPr>
            </w:pPr>
            <w:r>
              <w:rPr>
                <w:b/>
                <w:color w:val="FFFFFF" w:themeColor="background1"/>
              </w:rPr>
              <w:t>Australian estimated population</w:t>
            </w:r>
          </w:p>
          <w:p w14:paraId="5E89DA16" w14:textId="3D684449" w:rsidR="002F70C3" w:rsidRDefault="002F70C3" w:rsidP="001072F1">
            <w:pPr>
              <w:spacing w:before="0" w:after="120" w:line="240" w:lineRule="auto"/>
              <w:jc w:val="center"/>
              <w:rPr>
                <w:b/>
                <w:color w:val="FFFFFF" w:themeColor="background1"/>
              </w:rPr>
            </w:pPr>
            <w:r>
              <w:rPr>
                <w:b/>
                <w:color w:val="FFFFFF" w:themeColor="background1"/>
              </w:rPr>
              <w:t>(</w:t>
            </w:r>
            <w:r w:rsidR="003674F5">
              <w:rPr>
                <w:b/>
                <w:color w:val="FFFFFF" w:themeColor="background1"/>
              </w:rPr>
              <w:t>million</w:t>
            </w:r>
            <w:r>
              <w:rPr>
                <w:b/>
                <w:color w:val="FFFFFF" w:themeColor="background1"/>
              </w:rPr>
              <w:t>)</w:t>
            </w:r>
          </w:p>
        </w:tc>
        <w:tc>
          <w:tcPr>
            <w:tcW w:w="1915" w:type="dxa"/>
            <w:shd w:val="clear" w:color="auto" w:fill="300050" w:themeFill="text2"/>
            <w:vAlign w:val="center"/>
          </w:tcPr>
          <w:p w14:paraId="55471A7F" w14:textId="0EE0BB9B" w:rsidR="002F70C3" w:rsidRDefault="002F70C3" w:rsidP="001072F1">
            <w:pPr>
              <w:spacing w:before="0" w:after="120" w:line="240" w:lineRule="auto"/>
              <w:jc w:val="center"/>
              <w:rPr>
                <w:b/>
                <w:color w:val="FFFFFF" w:themeColor="background1"/>
              </w:rPr>
            </w:pPr>
            <w:r>
              <w:rPr>
                <w:b/>
                <w:color w:val="FFFFFF" w:themeColor="background1"/>
              </w:rPr>
              <w:t>Trips per person</w:t>
            </w:r>
          </w:p>
          <w:p w14:paraId="59429502" w14:textId="72C03277" w:rsidR="002F70C3" w:rsidRPr="003A58AB" w:rsidRDefault="002F70C3" w:rsidP="001072F1">
            <w:pPr>
              <w:spacing w:before="0" w:after="120" w:line="240" w:lineRule="auto"/>
              <w:jc w:val="center"/>
              <w:rPr>
                <w:b/>
                <w:color w:val="FFFFFF" w:themeColor="background1"/>
              </w:rPr>
            </w:pPr>
            <w:r>
              <w:rPr>
                <w:b/>
                <w:color w:val="FFFFFF" w:themeColor="background1"/>
              </w:rPr>
              <w:t>(</w:t>
            </w:r>
            <w:r w:rsidR="00035C25">
              <w:rPr>
                <w:b/>
                <w:color w:val="FFFFFF" w:themeColor="background1"/>
              </w:rPr>
              <w:t>trips</w:t>
            </w:r>
            <w:r>
              <w:rPr>
                <w:b/>
                <w:color w:val="FFFFFF" w:themeColor="background1"/>
              </w:rPr>
              <w:t>)</w:t>
            </w:r>
          </w:p>
        </w:tc>
        <w:tc>
          <w:tcPr>
            <w:tcW w:w="1701" w:type="dxa"/>
            <w:shd w:val="clear" w:color="auto" w:fill="300050" w:themeFill="text2"/>
            <w:vAlign w:val="center"/>
          </w:tcPr>
          <w:p w14:paraId="0BA92DF8" w14:textId="44E5D8D0" w:rsidR="002F70C3" w:rsidRDefault="002F70C3" w:rsidP="001072F1">
            <w:pPr>
              <w:spacing w:before="0" w:after="120" w:line="240" w:lineRule="auto"/>
              <w:jc w:val="center"/>
              <w:rPr>
                <w:b/>
                <w:color w:val="FFFFFF" w:themeColor="background1"/>
              </w:rPr>
            </w:pPr>
            <w:r>
              <w:rPr>
                <w:b/>
                <w:color w:val="FFFFFF" w:themeColor="background1"/>
              </w:rPr>
              <w:t>Spend per trip</w:t>
            </w:r>
          </w:p>
          <w:p w14:paraId="6A5B5700" w14:textId="0567E75B" w:rsidR="002F70C3" w:rsidRPr="003A58AB" w:rsidRDefault="002F70C3" w:rsidP="001072F1">
            <w:pPr>
              <w:spacing w:before="0" w:after="120" w:line="240" w:lineRule="auto"/>
              <w:jc w:val="center"/>
              <w:rPr>
                <w:b/>
                <w:color w:val="FFFFFF" w:themeColor="background1"/>
              </w:rPr>
            </w:pPr>
            <w:r>
              <w:rPr>
                <w:b/>
                <w:color w:val="FFFFFF" w:themeColor="background1"/>
              </w:rPr>
              <w:t>($)</w:t>
            </w:r>
          </w:p>
        </w:tc>
        <w:tc>
          <w:tcPr>
            <w:tcW w:w="1701" w:type="dxa"/>
            <w:shd w:val="clear" w:color="auto" w:fill="300050" w:themeFill="text2"/>
            <w:vAlign w:val="center"/>
          </w:tcPr>
          <w:p w14:paraId="412A8B6E" w14:textId="1281B7D9" w:rsidR="002F70C3" w:rsidRDefault="002F70C3" w:rsidP="001072F1">
            <w:pPr>
              <w:spacing w:before="0" w:after="120" w:line="240" w:lineRule="auto"/>
              <w:jc w:val="center"/>
              <w:rPr>
                <w:b/>
                <w:color w:val="FFFFFF" w:themeColor="background1"/>
              </w:rPr>
            </w:pPr>
            <w:r>
              <w:rPr>
                <w:b/>
                <w:color w:val="FFFFFF" w:themeColor="background1"/>
              </w:rPr>
              <w:t>Nights per trip</w:t>
            </w:r>
          </w:p>
          <w:p w14:paraId="0C58E198" w14:textId="521C9563" w:rsidR="002F70C3" w:rsidRDefault="002F70C3" w:rsidP="001072F1">
            <w:pPr>
              <w:spacing w:before="0" w:after="120" w:line="240" w:lineRule="auto"/>
              <w:jc w:val="center"/>
              <w:rPr>
                <w:b/>
                <w:color w:val="FFFFFF" w:themeColor="background1"/>
              </w:rPr>
            </w:pPr>
            <w:r>
              <w:rPr>
                <w:b/>
                <w:color w:val="FFFFFF" w:themeColor="background1"/>
              </w:rPr>
              <w:t>(</w:t>
            </w:r>
            <w:r w:rsidR="00035C25">
              <w:rPr>
                <w:b/>
                <w:color w:val="FFFFFF" w:themeColor="background1"/>
              </w:rPr>
              <w:t>n</w:t>
            </w:r>
            <w:r>
              <w:rPr>
                <w:b/>
                <w:color w:val="FFFFFF" w:themeColor="background1"/>
              </w:rPr>
              <w:t>ights)</w:t>
            </w:r>
          </w:p>
        </w:tc>
        <w:tc>
          <w:tcPr>
            <w:tcW w:w="1599" w:type="dxa"/>
            <w:shd w:val="clear" w:color="auto" w:fill="300050" w:themeFill="text2"/>
            <w:vAlign w:val="center"/>
          </w:tcPr>
          <w:p w14:paraId="49A78DA9" w14:textId="50F7F7CE" w:rsidR="002F70C3" w:rsidRDefault="002F70C3" w:rsidP="001072F1">
            <w:pPr>
              <w:spacing w:before="0" w:after="120" w:line="240" w:lineRule="auto"/>
              <w:jc w:val="center"/>
              <w:rPr>
                <w:b/>
                <w:color w:val="FFFFFF" w:themeColor="background1"/>
              </w:rPr>
            </w:pPr>
            <w:r>
              <w:rPr>
                <w:b/>
                <w:color w:val="FFFFFF" w:themeColor="background1"/>
              </w:rPr>
              <w:t>Spend per night</w:t>
            </w:r>
          </w:p>
          <w:p w14:paraId="1124BCD4" w14:textId="3BF26602" w:rsidR="002F70C3" w:rsidRDefault="002F70C3" w:rsidP="001072F1">
            <w:pPr>
              <w:spacing w:before="0" w:after="120" w:line="240" w:lineRule="auto"/>
              <w:jc w:val="center"/>
              <w:rPr>
                <w:b/>
                <w:color w:val="FFFFFF" w:themeColor="background1"/>
              </w:rPr>
            </w:pPr>
            <w:r>
              <w:rPr>
                <w:b/>
                <w:color w:val="FFFFFF" w:themeColor="background1"/>
              </w:rPr>
              <w:t>($)</w:t>
            </w:r>
          </w:p>
        </w:tc>
      </w:tr>
      <w:tr w:rsidR="002F70C3" w:rsidRPr="003A58AB" w14:paraId="144388F9" w14:textId="3D5720BC" w:rsidTr="00EC55E2">
        <w:trPr>
          <w:trHeight w:hRule="exact" w:val="312"/>
        </w:trPr>
        <w:tc>
          <w:tcPr>
            <w:tcW w:w="1262" w:type="dxa"/>
            <w:vAlign w:val="center"/>
          </w:tcPr>
          <w:p w14:paraId="322E0033" w14:textId="575E3E9F" w:rsidR="002F70C3" w:rsidRPr="003A58AB" w:rsidRDefault="002F70C3" w:rsidP="001072F1">
            <w:pPr>
              <w:spacing w:before="0" w:after="0" w:line="240" w:lineRule="auto"/>
            </w:pPr>
            <w:r>
              <w:t>15</w:t>
            </w:r>
            <w:r w:rsidR="00426A97">
              <w:t xml:space="preserve"> to </w:t>
            </w:r>
            <w:r>
              <w:t>2</w:t>
            </w:r>
            <w:r w:rsidR="00271559">
              <w:t>9</w:t>
            </w:r>
          </w:p>
        </w:tc>
        <w:tc>
          <w:tcPr>
            <w:tcW w:w="1780" w:type="dxa"/>
            <w:vAlign w:val="center"/>
          </w:tcPr>
          <w:p w14:paraId="2DB82483" w14:textId="2E595F74" w:rsidR="002F70C3" w:rsidRPr="003A58AB" w:rsidRDefault="00271559" w:rsidP="001072F1">
            <w:pPr>
              <w:spacing w:before="0" w:after="0" w:line="240" w:lineRule="auto"/>
              <w:jc w:val="center"/>
            </w:pPr>
            <w:r>
              <w:t>5</w:t>
            </w:r>
            <w:r w:rsidR="003E1ADE">
              <w:t>.4</w:t>
            </w:r>
          </w:p>
        </w:tc>
        <w:tc>
          <w:tcPr>
            <w:tcW w:w="1915" w:type="dxa"/>
            <w:vAlign w:val="center"/>
          </w:tcPr>
          <w:p w14:paraId="29CA7334" w14:textId="0195CBF3" w:rsidR="002F70C3" w:rsidRPr="003A58AB" w:rsidRDefault="000024BE" w:rsidP="001072F1">
            <w:pPr>
              <w:spacing w:before="0" w:after="0" w:line="240" w:lineRule="auto"/>
              <w:jc w:val="center"/>
            </w:pPr>
            <w:r>
              <w:t>2.0</w:t>
            </w:r>
          </w:p>
        </w:tc>
        <w:tc>
          <w:tcPr>
            <w:tcW w:w="1701" w:type="dxa"/>
            <w:vAlign w:val="center"/>
          </w:tcPr>
          <w:p w14:paraId="56B26117" w14:textId="4C31066C" w:rsidR="002F70C3" w:rsidRPr="003A58AB" w:rsidRDefault="0093455A" w:rsidP="001072F1">
            <w:pPr>
              <w:spacing w:before="0" w:after="0" w:line="240" w:lineRule="auto"/>
              <w:jc w:val="center"/>
            </w:pPr>
            <w:r>
              <w:t>$</w:t>
            </w:r>
            <w:r w:rsidR="000024BE">
              <w:t>745</w:t>
            </w:r>
          </w:p>
        </w:tc>
        <w:tc>
          <w:tcPr>
            <w:tcW w:w="1701" w:type="dxa"/>
            <w:vAlign w:val="center"/>
          </w:tcPr>
          <w:p w14:paraId="1CDCE150" w14:textId="1A92403F" w:rsidR="002F70C3" w:rsidRPr="003A58AB" w:rsidRDefault="00626921" w:rsidP="001072F1">
            <w:pPr>
              <w:spacing w:before="0" w:after="0" w:line="240" w:lineRule="auto"/>
              <w:jc w:val="center"/>
            </w:pPr>
            <w:r>
              <w:t>2.9</w:t>
            </w:r>
          </w:p>
        </w:tc>
        <w:tc>
          <w:tcPr>
            <w:tcW w:w="1599" w:type="dxa"/>
            <w:vAlign w:val="center"/>
          </w:tcPr>
          <w:p w14:paraId="528F9CD8" w14:textId="12F106D0" w:rsidR="002F70C3" w:rsidRPr="003A58AB" w:rsidRDefault="0093455A" w:rsidP="001072F1">
            <w:pPr>
              <w:spacing w:before="0" w:after="0" w:line="240" w:lineRule="auto"/>
              <w:jc w:val="center"/>
            </w:pPr>
            <w:r>
              <w:t>$</w:t>
            </w:r>
            <w:r w:rsidR="003B5F48">
              <w:t>2</w:t>
            </w:r>
            <w:r w:rsidR="00626921">
              <w:t>60</w:t>
            </w:r>
          </w:p>
        </w:tc>
      </w:tr>
      <w:tr w:rsidR="002F70C3" w:rsidRPr="003A58AB" w14:paraId="62154A1E" w14:textId="77777777" w:rsidTr="00EC55E2">
        <w:trPr>
          <w:trHeight w:hRule="exact" w:val="312"/>
        </w:trPr>
        <w:tc>
          <w:tcPr>
            <w:tcW w:w="1262" w:type="dxa"/>
            <w:vAlign w:val="center"/>
          </w:tcPr>
          <w:p w14:paraId="61085F83" w14:textId="03515BC7" w:rsidR="002F70C3" w:rsidRPr="003A58AB" w:rsidRDefault="002F70C3" w:rsidP="001072F1">
            <w:pPr>
              <w:spacing w:before="0" w:after="0" w:line="240" w:lineRule="auto"/>
            </w:pPr>
            <w:r>
              <w:t>3</w:t>
            </w:r>
            <w:r w:rsidR="00271559">
              <w:t>0</w:t>
            </w:r>
            <w:r w:rsidR="00426A97">
              <w:t xml:space="preserve"> to </w:t>
            </w:r>
            <w:r>
              <w:t>44</w:t>
            </w:r>
          </w:p>
        </w:tc>
        <w:tc>
          <w:tcPr>
            <w:tcW w:w="1780" w:type="dxa"/>
            <w:vAlign w:val="center"/>
          </w:tcPr>
          <w:p w14:paraId="4216FB4D" w14:textId="27CE2F18" w:rsidR="002F70C3" w:rsidRPr="003A58AB" w:rsidRDefault="00271559" w:rsidP="001072F1">
            <w:pPr>
              <w:spacing w:before="0" w:after="0" w:line="240" w:lineRule="auto"/>
              <w:jc w:val="center"/>
            </w:pPr>
            <w:r>
              <w:t>5.9</w:t>
            </w:r>
          </w:p>
        </w:tc>
        <w:tc>
          <w:tcPr>
            <w:tcW w:w="1915" w:type="dxa"/>
            <w:vAlign w:val="center"/>
          </w:tcPr>
          <w:p w14:paraId="1944FDCB" w14:textId="0DD3CBEF" w:rsidR="002F70C3" w:rsidRPr="003A58AB" w:rsidRDefault="006130B3" w:rsidP="001072F1">
            <w:pPr>
              <w:spacing w:before="0" w:after="0" w:line="240" w:lineRule="auto"/>
              <w:jc w:val="center"/>
            </w:pPr>
            <w:r>
              <w:t>2.</w:t>
            </w:r>
            <w:r w:rsidR="000024BE">
              <w:t>2</w:t>
            </w:r>
          </w:p>
        </w:tc>
        <w:tc>
          <w:tcPr>
            <w:tcW w:w="1701" w:type="dxa"/>
            <w:vAlign w:val="center"/>
          </w:tcPr>
          <w:p w14:paraId="06C924C6" w14:textId="0F09365E" w:rsidR="002F70C3" w:rsidRPr="003A58AB" w:rsidRDefault="0093455A" w:rsidP="001072F1">
            <w:pPr>
              <w:spacing w:before="0" w:after="0" w:line="240" w:lineRule="auto"/>
              <w:jc w:val="center"/>
            </w:pPr>
            <w:r>
              <w:t>$1,</w:t>
            </w:r>
            <w:r w:rsidR="000024BE">
              <w:t>382</w:t>
            </w:r>
          </w:p>
        </w:tc>
        <w:tc>
          <w:tcPr>
            <w:tcW w:w="1701" w:type="dxa"/>
            <w:vAlign w:val="center"/>
          </w:tcPr>
          <w:p w14:paraId="6D94731A" w14:textId="524FCCEC" w:rsidR="002F70C3" w:rsidRPr="003A58AB" w:rsidRDefault="0093455A" w:rsidP="001072F1">
            <w:pPr>
              <w:spacing w:before="0" w:after="0" w:line="240" w:lineRule="auto"/>
              <w:jc w:val="center"/>
            </w:pPr>
            <w:r>
              <w:t>3.</w:t>
            </w:r>
            <w:r w:rsidR="00626921">
              <w:t>2</w:t>
            </w:r>
          </w:p>
        </w:tc>
        <w:tc>
          <w:tcPr>
            <w:tcW w:w="1599" w:type="dxa"/>
            <w:vAlign w:val="center"/>
          </w:tcPr>
          <w:p w14:paraId="7310AEF8" w14:textId="5C154FBF" w:rsidR="002F70C3" w:rsidRPr="003A58AB" w:rsidRDefault="0093455A" w:rsidP="001072F1">
            <w:pPr>
              <w:spacing w:before="0" w:after="0" w:line="240" w:lineRule="auto"/>
              <w:jc w:val="center"/>
            </w:pPr>
            <w:r>
              <w:t>$</w:t>
            </w:r>
            <w:r w:rsidR="003B5F48">
              <w:t>4</w:t>
            </w:r>
            <w:r w:rsidR="00626921">
              <w:t>32</w:t>
            </w:r>
          </w:p>
        </w:tc>
      </w:tr>
      <w:tr w:rsidR="002F70C3" w:rsidRPr="003A58AB" w14:paraId="393E4772" w14:textId="77777777" w:rsidTr="00EC55E2">
        <w:trPr>
          <w:trHeight w:hRule="exact" w:val="312"/>
        </w:trPr>
        <w:tc>
          <w:tcPr>
            <w:tcW w:w="1262" w:type="dxa"/>
            <w:vAlign w:val="center"/>
          </w:tcPr>
          <w:p w14:paraId="2DA9478B" w14:textId="1DF7985D" w:rsidR="002F70C3" w:rsidRPr="003A58AB" w:rsidRDefault="00271559" w:rsidP="001072F1">
            <w:pPr>
              <w:spacing w:before="0" w:after="0" w:line="240" w:lineRule="auto"/>
            </w:pPr>
            <w:r>
              <w:t>45</w:t>
            </w:r>
            <w:r w:rsidR="00426A97">
              <w:t xml:space="preserve"> to </w:t>
            </w:r>
            <w:r w:rsidR="00F56500">
              <w:t>59</w:t>
            </w:r>
          </w:p>
        </w:tc>
        <w:tc>
          <w:tcPr>
            <w:tcW w:w="1780" w:type="dxa"/>
            <w:vAlign w:val="center"/>
          </w:tcPr>
          <w:p w14:paraId="4D2544B9" w14:textId="0A1E6D72" w:rsidR="002F70C3" w:rsidRPr="003A58AB" w:rsidRDefault="00271559" w:rsidP="001072F1">
            <w:pPr>
              <w:spacing w:before="0" w:after="0" w:line="240" w:lineRule="auto"/>
              <w:jc w:val="center"/>
            </w:pPr>
            <w:r>
              <w:t>4.8</w:t>
            </w:r>
          </w:p>
        </w:tc>
        <w:tc>
          <w:tcPr>
            <w:tcW w:w="1915" w:type="dxa"/>
            <w:vAlign w:val="center"/>
          </w:tcPr>
          <w:p w14:paraId="522A5824" w14:textId="5A716A0D" w:rsidR="002F70C3" w:rsidRPr="003A58AB" w:rsidRDefault="006130B3" w:rsidP="001072F1">
            <w:pPr>
              <w:spacing w:before="0" w:after="0" w:line="240" w:lineRule="auto"/>
              <w:jc w:val="center"/>
            </w:pPr>
            <w:r>
              <w:t>2.</w:t>
            </w:r>
            <w:r w:rsidR="000024BE">
              <w:t>6</w:t>
            </w:r>
          </w:p>
        </w:tc>
        <w:tc>
          <w:tcPr>
            <w:tcW w:w="1701" w:type="dxa"/>
            <w:vAlign w:val="center"/>
          </w:tcPr>
          <w:p w14:paraId="3D844335" w14:textId="1A576812" w:rsidR="002F70C3" w:rsidRPr="003A58AB" w:rsidRDefault="0093455A" w:rsidP="001072F1">
            <w:pPr>
              <w:spacing w:before="0" w:after="0" w:line="240" w:lineRule="auto"/>
              <w:jc w:val="center"/>
            </w:pPr>
            <w:r>
              <w:t>$1,</w:t>
            </w:r>
            <w:r w:rsidR="000024BE">
              <w:t>344</w:t>
            </w:r>
          </w:p>
        </w:tc>
        <w:tc>
          <w:tcPr>
            <w:tcW w:w="1701" w:type="dxa"/>
            <w:vAlign w:val="center"/>
          </w:tcPr>
          <w:p w14:paraId="161311D6" w14:textId="617E86CC" w:rsidR="002F70C3" w:rsidRPr="003A58AB" w:rsidRDefault="0093455A" w:rsidP="001072F1">
            <w:pPr>
              <w:spacing w:before="0" w:after="0" w:line="240" w:lineRule="auto"/>
              <w:jc w:val="center"/>
            </w:pPr>
            <w:r>
              <w:t>3.</w:t>
            </w:r>
            <w:r w:rsidR="00626921">
              <w:t>4</w:t>
            </w:r>
          </w:p>
        </w:tc>
        <w:tc>
          <w:tcPr>
            <w:tcW w:w="1599" w:type="dxa"/>
            <w:vAlign w:val="center"/>
          </w:tcPr>
          <w:p w14:paraId="74A00074" w14:textId="0444E776" w:rsidR="002F70C3" w:rsidRPr="003A58AB" w:rsidRDefault="0093455A" w:rsidP="001072F1">
            <w:pPr>
              <w:spacing w:before="0" w:after="0" w:line="240" w:lineRule="auto"/>
              <w:jc w:val="center"/>
            </w:pPr>
            <w:r>
              <w:t>$</w:t>
            </w:r>
            <w:r w:rsidR="003B5F48">
              <w:t>3</w:t>
            </w:r>
            <w:r w:rsidR="00626921">
              <w:t>90</w:t>
            </w:r>
          </w:p>
        </w:tc>
      </w:tr>
      <w:tr w:rsidR="002F70C3" w:rsidRPr="003A58AB" w14:paraId="4E43F92D" w14:textId="77777777" w:rsidTr="00EC55E2">
        <w:trPr>
          <w:trHeight w:hRule="exact" w:val="312"/>
        </w:trPr>
        <w:tc>
          <w:tcPr>
            <w:tcW w:w="1262" w:type="dxa"/>
            <w:vAlign w:val="center"/>
          </w:tcPr>
          <w:p w14:paraId="1B024EA8" w14:textId="58844E9C" w:rsidR="002F70C3" w:rsidRPr="003A58AB" w:rsidRDefault="002F70C3" w:rsidP="001072F1">
            <w:pPr>
              <w:spacing w:before="0" w:after="0" w:line="240" w:lineRule="auto"/>
            </w:pPr>
            <w:r>
              <w:t>6</w:t>
            </w:r>
            <w:r w:rsidR="00271559">
              <w:t>0</w:t>
            </w:r>
            <w:r w:rsidR="00426A97">
              <w:t xml:space="preserve"> to </w:t>
            </w:r>
            <w:r>
              <w:t>74</w:t>
            </w:r>
          </w:p>
        </w:tc>
        <w:tc>
          <w:tcPr>
            <w:tcW w:w="1780" w:type="dxa"/>
            <w:vAlign w:val="center"/>
          </w:tcPr>
          <w:p w14:paraId="63054F1C" w14:textId="437B5946" w:rsidR="002F70C3" w:rsidRPr="003A58AB" w:rsidRDefault="00271559" w:rsidP="001072F1">
            <w:pPr>
              <w:spacing w:before="0" w:after="0" w:line="240" w:lineRule="auto"/>
              <w:jc w:val="center"/>
            </w:pPr>
            <w:r>
              <w:t>4.1</w:t>
            </w:r>
          </w:p>
        </w:tc>
        <w:tc>
          <w:tcPr>
            <w:tcW w:w="1915" w:type="dxa"/>
            <w:vAlign w:val="center"/>
          </w:tcPr>
          <w:p w14:paraId="4290480A" w14:textId="7893FF66" w:rsidR="002F70C3" w:rsidRPr="003A58AB" w:rsidRDefault="006130B3" w:rsidP="001072F1">
            <w:pPr>
              <w:spacing w:before="0" w:after="0" w:line="240" w:lineRule="auto"/>
              <w:jc w:val="center"/>
            </w:pPr>
            <w:r>
              <w:t>2.</w:t>
            </w:r>
            <w:r w:rsidR="000024BE">
              <w:t>5</w:t>
            </w:r>
          </w:p>
        </w:tc>
        <w:tc>
          <w:tcPr>
            <w:tcW w:w="1701" w:type="dxa"/>
            <w:vAlign w:val="center"/>
          </w:tcPr>
          <w:p w14:paraId="34288CA3" w14:textId="569FB6FB" w:rsidR="002F70C3" w:rsidRPr="003A58AB" w:rsidRDefault="0093455A" w:rsidP="001072F1">
            <w:pPr>
              <w:spacing w:before="0" w:after="0" w:line="240" w:lineRule="auto"/>
              <w:jc w:val="center"/>
            </w:pPr>
            <w:r>
              <w:t>$</w:t>
            </w:r>
            <w:r w:rsidR="003B5F48">
              <w:t>1,1</w:t>
            </w:r>
            <w:r w:rsidR="000024BE">
              <w:t>26</w:t>
            </w:r>
          </w:p>
        </w:tc>
        <w:tc>
          <w:tcPr>
            <w:tcW w:w="1701" w:type="dxa"/>
            <w:vAlign w:val="center"/>
          </w:tcPr>
          <w:p w14:paraId="12A81D5D" w14:textId="5E6B6AED" w:rsidR="002F70C3" w:rsidRPr="003A58AB" w:rsidRDefault="0093455A" w:rsidP="001072F1">
            <w:pPr>
              <w:spacing w:before="0" w:after="0" w:line="240" w:lineRule="auto"/>
              <w:jc w:val="center"/>
            </w:pPr>
            <w:r>
              <w:t>4.</w:t>
            </w:r>
            <w:r w:rsidR="00626921">
              <w:t>4</w:t>
            </w:r>
          </w:p>
        </w:tc>
        <w:tc>
          <w:tcPr>
            <w:tcW w:w="1599" w:type="dxa"/>
            <w:vAlign w:val="center"/>
          </w:tcPr>
          <w:p w14:paraId="567B2B96" w14:textId="077CD515" w:rsidR="002F70C3" w:rsidRPr="003A58AB" w:rsidRDefault="0093455A" w:rsidP="001072F1">
            <w:pPr>
              <w:spacing w:before="0" w:after="0" w:line="240" w:lineRule="auto"/>
              <w:jc w:val="center"/>
            </w:pPr>
            <w:r>
              <w:t>$2</w:t>
            </w:r>
            <w:r w:rsidR="00626921">
              <w:t>56</w:t>
            </w:r>
          </w:p>
        </w:tc>
      </w:tr>
      <w:tr w:rsidR="002F70C3" w:rsidRPr="003A58AB" w14:paraId="2E3D9E14" w14:textId="77777777" w:rsidTr="00EC55E2">
        <w:trPr>
          <w:trHeight w:hRule="exact" w:val="312"/>
        </w:trPr>
        <w:tc>
          <w:tcPr>
            <w:tcW w:w="1262" w:type="dxa"/>
            <w:vAlign w:val="center"/>
          </w:tcPr>
          <w:p w14:paraId="626EB79C" w14:textId="3EAFFFC6" w:rsidR="002F70C3" w:rsidRPr="003A58AB" w:rsidRDefault="002F70C3" w:rsidP="001072F1">
            <w:pPr>
              <w:spacing w:before="0" w:after="0" w:line="240" w:lineRule="auto"/>
            </w:pPr>
            <w:r>
              <w:t>75+</w:t>
            </w:r>
          </w:p>
        </w:tc>
        <w:tc>
          <w:tcPr>
            <w:tcW w:w="1780" w:type="dxa"/>
            <w:vAlign w:val="center"/>
          </w:tcPr>
          <w:p w14:paraId="17DDD604" w14:textId="39AFBE46" w:rsidR="002F70C3" w:rsidRPr="003A58AB" w:rsidRDefault="003674F5" w:rsidP="001072F1">
            <w:pPr>
              <w:spacing w:before="0" w:after="0" w:line="240" w:lineRule="auto"/>
              <w:jc w:val="center"/>
            </w:pPr>
            <w:r>
              <w:t>2.2</w:t>
            </w:r>
          </w:p>
        </w:tc>
        <w:tc>
          <w:tcPr>
            <w:tcW w:w="1915" w:type="dxa"/>
            <w:vAlign w:val="center"/>
          </w:tcPr>
          <w:p w14:paraId="4C86C46C" w14:textId="0FDA15EC" w:rsidR="002F70C3" w:rsidRPr="003A58AB" w:rsidRDefault="006130B3" w:rsidP="001072F1">
            <w:pPr>
              <w:spacing w:before="0" w:after="0" w:line="240" w:lineRule="auto"/>
              <w:jc w:val="center"/>
            </w:pPr>
            <w:r>
              <w:t>1.0</w:t>
            </w:r>
          </w:p>
        </w:tc>
        <w:tc>
          <w:tcPr>
            <w:tcW w:w="1701" w:type="dxa"/>
            <w:vAlign w:val="center"/>
          </w:tcPr>
          <w:p w14:paraId="692A3A86" w14:textId="02881062" w:rsidR="002F70C3" w:rsidRPr="003A58AB" w:rsidRDefault="0093455A" w:rsidP="001072F1">
            <w:pPr>
              <w:spacing w:before="0" w:after="0" w:line="240" w:lineRule="auto"/>
              <w:jc w:val="center"/>
            </w:pPr>
            <w:r>
              <w:t>$</w:t>
            </w:r>
            <w:r w:rsidR="003B5F48">
              <w:t>1,2</w:t>
            </w:r>
            <w:r w:rsidR="000024BE">
              <w:t>03</w:t>
            </w:r>
          </w:p>
        </w:tc>
        <w:tc>
          <w:tcPr>
            <w:tcW w:w="1701" w:type="dxa"/>
            <w:vAlign w:val="center"/>
          </w:tcPr>
          <w:p w14:paraId="141417F9" w14:textId="317EB0F6" w:rsidR="002F70C3" w:rsidRPr="003A58AB" w:rsidRDefault="003B5F48" w:rsidP="001072F1">
            <w:pPr>
              <w:spacing w:before="0" w:after="0" w:line="240" w:lineRule="auto"/>
              <w:jc w:val="center"/>
            </w:pPr>
            <w:r>
              <w:t>5</w:t>
            </w:r>
            <w:r w:rsidR="0093455A">
              <w:t>.</w:t>
            </w:r>
            <w:r w:rsidR="00626921">
              <w:t>4</w:t>
            </w:r>
          </w:p>
        </w:tc>
        <w:tc>
          <w:tcPr>
            <w:tcW w:w="1599" w:type="dxa"/>
            <w:vAlign w:val="center"/>
          </w:tcPr>
          <w:p w14:paraId="61E87782" w14:textId="1989EC92" w:rsidR="002F70C3" w:rsidRPr="003A58AB" w:rsidRDefault="0093455A" w:rsidP="001072F1">
            <w:pPr>
              <w:spacing w:before="0" w:after="0" w:line="240" w:lineRule="auto"/>
              <w:jc w:val="center"/>
            </w:pPr>
            <w:r>
              <w:t>$</w:t>
            </w:r>
            <w:r w:rsidR="003B5F48">
              <w:t>2</w:t>
            </w:r>
            <w:r w:rsidR="00626921">
              <w:t>21</w:t>
            </w:r>
          </w:p>
        </w:tc>
      </w:tr>
      <w:tr w:rsidR="002F70C3" w:rsidRPr="001072F1" w14:paraId="330DA827" w14:textId="26A8F924" w:rsidTr="00EC55E2">
        <w:trPr>
          <w:trHeight w:hRule="exact" w:val="397"/>
        </w:trPr>
        <w:tc>
          <w:tcPr>
            <w:tcW w:w="1262" w:type="dxa"/>
            <w:vAlign w:val="center"/>
          </w:tcPr>
          <w:p w14:paraId="7DEA7538" w14:textId="7B8B1992" w:rsidR="002F70C3" w:rsidRPr="001072F1" w:rsidRDefault="002F70C3" w:rsidP="001072F1">
            <w:pPr>
              <w:spacing w:before="0" w:after="0" w:line="240" w:lineRule="auto"/>
              <w:rPr>
                <w:b/>
                <w:bCs/>
              </w:rPr>
            </w:pPr>
            <w:r w:rsidRPr="001072F1">
              <w:rPr>
                <w:b/>
                <w:bCs/>
              </w:rPr>
              <w:t>Total</w:t>
            </w:r>
          </w:p>
        </w:tc>
        <w:tc>
          <w:tcPr>
            <w:tcW w:w="1780" w:type="dxa"/>
            <w:vAlign w:val="center"/>
          </w:tcPr>
          <w:p w14:paraId="188D7DDD" w14:textId="544919A0" w:rsidR="002F70C3" w:rsidRPr="001072F1" w:rsidRDefault="003674F5" w:rsidP="001072F1">
            <w:pPr>
              <w:spacing w:before="0" w:after="0" w:line="240" w:lineRule="auto"/>
              <w:jc w:val="center"/>
              <w:rPr>
                <w:b/>
                <w:bCs/>
              </w:rPr>
            </w:pPr>
            <w:r w:rsidRPr="001072F1">
              <w:rPr>
                <w:b/>
                <w:bCs/>
              </w:rPr>
              <w:t>2</w:t>
            </w:r>
            <w:r w:rsidR="00D66959" w:rsidRPr="001072F1">
              <w:rPr>
                <w:b/>
                <w:bCs/>
              </w:rPr>
              <w:t>2</w:t>
            </w:r>
            <w:r w:rsidRPr="001072F1">
              <w:rPr>
                <w:b/>
                <w:bCs/>
              </w:rPr>
              <w:t>.4</w:t>
            </w:r>
          </w:p>
        </w:tc>
        <w:tc>
          <w:tcPr>
            <w:tcW w:w="1915" w:type="dxa"/>
            <w:vAlign w:val="center"/>
          </w:tcPr>
          <w:p w14:paraId="269FF176" w14:textId="583B5C40" w:rsidR="002F70C3" w:rsidRPr="001072F1" w:rsidRDefault="006130B3" w:rsidP="001072F1">
            <w:pPr>
              <w:spacing w:before="0" w:after="0" w:line="240" w:lineRule="auto"/>
              <w:jc w:val="center"/>
              <w:rPr>
                <w:b/>
                <w:bCs/>
              </w:rPr>
            </w:pPr>
            <w:r>
              <w:rPr>
                <w:b/>
                <w:bCs/>
              </w:rPr>
              <w:t>2.2</w:t>
            </w:r>
          </w:p>
        </w:tc>
        <w:tc>
          <w:tcPr>
            <w:tcW w:w="1701" w:type="dxa"/>
            <w:vAlign w:val="center"/>
          </w:tcPr>
          <w:p w14:paraId="60FF091E" w14:textId="40E856E8" w:rsidR="002F70C3" w:rsidRPr="001072F1" w:rsidRDefault="0093455A" w:rsidP="001072F1">
            <w:pPr>
              <w:spacing w:before="0" w:after="0" w:line="240" w:lineRule="auto"/>
              <w:jc w:val="center"/>
              <w:rPr>
                <w:b/>
                <w:bCs/>
              </w:rPr>
            </w:pPr>
            <w:r w:rsidRPr="001072F1">
              <w:rPr>
                <w:b/>
                <w:bCs/>
              </w:rPr>
              <w:t>$</w:t>
            </w:r>
            <w:r w:rsidR="003B5F48">
              <w:rPr>
                <w:b/>
                <w:bCs/>
              </w:rPr>
              <w:t>1,1</w:t>
            </w:r>
            <w:r w:rsidR="00626921">
              <w:rPr>
                <w:b/>
                <w:bCs/>
              </w:rPr>
              <w:t>70</w:t>
            </w:r>
          </w:p>
        </w:tc>
        <w:tc>
          <w:tcPr>
            <w:tcW w:w="1701" w:type="dxa"/>
            <w:vAlign w:val="center"/>
          </w:tcPr>
          <w:p w14:paraId="1EB8F50D" w14:textId="0FAB4577" w:rsidR="002F70C3" w:rsidRPr="001072F1" w:rsidRDefault="0093455A" w:rsidP="001072F1">
            <w:pPr>
              <w:spacing w:before="0" w:after="0" w:line="240" w:lineRule="auto"/>
              <w:jc w:val="center"/>
              <w:rPr>
                <w:b/>
                <w:bCs/>
              </w:rPr>
            </w:pPr>
            <w:r w:rsidRPr="001072F1">
              <w:rPr>
                <w:b/>
                <w:bCs/>
              </w:rPr>
              <w:t>3.</w:t>
            </w:r>
            <w:r w:rsidR="00626921">
              <w:rPr>
                <w:b/>
                <w:bCs/>
              </w:rPr>
              <w:t>5</w:t>
            </w:r>
          </w:p>
        </w:tc>
        <w:tc>
          <w:tcPr>
            <w:tcW w:w="1599" w:type="dxa"/>
            <w:vAlign w:val="center"/>
          </w:tcPr>
          <w:p w14:paraId="3B6AB484" w14:textId="0B28C2F9" w:rsidR="002F70C3" w:rsidRPr="001072F1" w:rsidRDefault="0093455A" w:rsidP="001072F1">
            <w:pPr>
              <w:spacing w:before="0" w:after="0" w:line="240" w:lineRule="auto"/>
              <w:jc w:val="center"/>
              <w:rPr>
                <w:b/>
                <w:bCs/>
              </w:rPr>
            </w:pPr>
            <w:r w:rsidRPr="001072F1">
              <w:rPr>
                <w:b/>
                <w:bCs/>
              </w:rPr>
              <w:t>$</w:t>
            </w:r>
            <w:r w:rsidR="003B5F48">
              <w:rPr>
                <w:b/>
                <w:bCs/>
              </w:rPr>
              <w:t>3</w:t>
            </w:r>
            <w:r w:rsidR="00626921">
              <w:rPr>
                <w:b/>
                <w:bCs/>
              </w:rPr>
              <w:t>30</w:t>
            </w:r>
          </w:p>
        </w:tc>
      </w:tr>
    </w:tbl>
    <w:p w14:paraId="3C039214" w14:textId="7512C5AB" w:rsidR="00D00046" w:rsidRPr="00605F4C" w:rsidRDefault="00D00046" w:rsidP="00EC55E2">
      <w:pPr>
        <w:pStyle w:val="ListBullet"/>
        <w:keepNext/>
        <w:numPr>
          <w:ilvl w:val="0"/>
          <w:numId w:val="0"/>
        </w:numPr>
        <w:spacing w:before="200" w:after="0" w:line="300" w:lineRule="atLeast"/>
        <w:rPr>
          <w:rFonts w:ascii="Verdana" w:eastAsiaTheme="minorHAnsi" w:hAnsi="Verdana"/>
          <w:b/>
          <w:bCs/>
          <w:color w:val="300050" w:themeColor="text2"/>
          <w:lang w:eastAsia="en-US"/>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4</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Pr="000E0B97">
        <w:rPr>
          <w:rFonts w:ascii="Verdana" w:eastAsiaTheme="minorHAnsi" w:hAnsi="Verdana"/>
          <w:color w:val="300050" w:themeColor="text2"/>
          <w:lang w:eastAsia="en-US"/>
        </w:rPr>
        <w:t xml:space="preserve">Domestic overnight </w:t>
      </w:r>
      <w:r w:rsidRPr="003E1ADE">
        <w:rPr>
          <w:rFonts w:ascii="Verdana" w:eastAsiaTheme="minorHAnsi" w:hAnsi="Verdana"/>
          <w:b/>
          <w:bCs/>
          <w:color w:val="300050" w:themeColor="text2"/>
          <w:lang w:eastAsia="en-US"/>
        </w:rPr>
        <w:t>holiday</w:t>
      </w:r>
      <w:r>
        <w:rPr>
          <w:rFonts w:ascii="Verdana" w:eastAsiaTheme="minorHAnsi" w:hAnsi="Verdana"/>
          <w:color w:val="300050" w:themeColor="text2"/>
          <w:lang w:eastAsia="en-US"/>
        </w:rPr>
        <w:t xml:space="preserve"> </w:t>
      </w:r>
      <w:r w:rsidRPr="000E0B97">
        <w:rPr>
          <w:rFonts w:ascii="Verdana" w:eastAsiaTheme="minorHAnsi" w:hAnsi="Verdana"/>
          <w:color w:val="300050" w:themeColor="text2"/>
          <w:lang w:eastAsia="en-US"/>
        </w:rPr>
        <w:t>trip characteristics by age cohort in Australia in 2024.</w:t>
      </w:r>
    </w:p>
    <w:p w14:paraId="4C07F4E8" w14:textId="297F1057" w:rsidR="00605F4C" w:rsidRDefault="00605F4C" w:rsidP="00EC55E2">
      <w:pPr>
        <w:spacing w:after="0" w:line="240" w:lineRule="atLeast"/>
        <w:jc w:val="center"/>
        <w:rPr>
          <w:lang w:eastAsia="zh-CN"/>
        </w:rPr>
      </w:pPr>
      <w:r w:rsidRPr="00605F4C">
        <w:rPr>
          <w:noProof/>
        </w:rPr>
        <w:drawing>
          <wp:inline distT="0" distB="0" distL="0" distR="0" wp14:anchorId="6A39266E" wp14:editId="1F136E6A">
            <wp:extent cx="5634000" cy="3769200"/>
            <wp:effectExtent l="0" t="0" r="0" b="0"/>
            <wp:docPr id="525541192" name="Picture 10" descr="This bubble chart shows a circle for each of 5 age cohorts that is plotted at a position showing the average nights per trip on average for that cohort in 2024 on the x-axis, and average number of trips per year per person for that cohort on the y-axis. The bubble size represents the average spend per night on domestic overnight holiday trips for that age group. The age group 30 to 44 years has the biggest bubble, at $432 per night and the age group 75+ has the smallest bubble, at $221 per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41192" name="Picture 10" descr="This bubble chart shows a circle for each of 5 age cohorts that is plotted at a position showing the average nights per trip on average for that cohort in 2024 on the x-axis, and average number of trips per year per person for that cohort on the y-axis. The bubble size represents the average spend per night on domestic overnight holiday trips for that age group. The age group 30 to 44 years has the biggest bubble, at $432 per night and the age group 75+ has the smallest bubble, at $221 per night. "/>
                    <pic:cNvPicPr>
                      <a:picLocks noChangeAspect="1" noChangeArrowheads="1"/>
                    </pic:cNvPicPr>
                  </pic:nvPicPr>
                  <pic:blipFill rotWithShape="1">
                    <a:blip r:embed="rId23">
                      <a:extLst>
                        <a:ext uri="{28A0092B-C50C-407E-A947-70E740481C1C}">
                          <a14:useLocalDpi xmlns:a14="http://schemas.microsoft.com/office/drawing/2010/main" val="0"/>
                        </a:ext>
                      </a:extLst>
                    </a:blip>
                    <a:srcRect t="2973" b="5521"/>
                    <a:stretch/>
                  </pic:blipFill>
                  <pic:spPr bwMode="auto">
                    <a:xfrm>
                      <a:off x="0" y="0"/>
                      <a:ext cx="5634000" cy="3769200"/>
                    </a:xfrm>
                    <a:prstGeom prst="rect">
                      <a:avLst/>
                    </a:prstGeom>
                    <a:noFill/>
                    <a:ln>
                      <a:noFill/>
                    </a:ln>
                    <a:extLst>
                      <a:ext uri="{53640926-AAD7-44D8-BBD7-CCE9431645EC}">
                        <a14:shadowObscured xmlns:a14="http://schemas.microsoft.com/office/drawing/2010/main"/>
                      </a:ext>
                    </a:extLst>
                  </pic:spPr>
                </pic:pic>
              </a:graphicData>
            </a:graphic>
          </wp:inline>
        </w:drawing>
      </w:r>
    </w:p>
    <w:p w14:paraId="6960DE98" w14:textId="409422F8" w:rsidR="003119A4" w:rsidRDefault="003119A4" w:rsidP="003119A4">
      <w:pPr>
        <w:rPr>
          <w:lang w:eastAsia="zh-CN"/>
        </w:rPr>
      </w:pPr>
      <w:r>
        <w:rPr>
          <w:lang w:eastAsia="zh-CN"/>
        </w:rPr>
        <w:lastRenderedPageBreak/>
        <w:t>The cohort aged 30</w:t>
      </w:r>
      <w:r w:rsidR="00426A97">
        <w:rPr>
          <w:lang w:eastAsia="zh-CN"/>
        </w:rPr>
        <w:t xml:space="preserve"> to </w:t>
      </w:r>
      <w:r w:rsidR="00F56500">
        <w:rPr>
          <w:lang w:eastAsia="zh-CN"/>
        </w:rPr>
        <w:t>44 years was the highest spending cohort</w:t>
      </w:r>
      <w:r w:rsidR="00EA25B6">
        <w:rPr>
          <w:lang w:eastAsia="zh-CN"/>
        </w:rPr>
        <w:t xml:space="preserve">. It was also the largest cohort and </w:t>
      </w:r>
      <w:r w:rsidR="00844682">
        <w:rPr>
          <w:lang w:eastAsia="zh-CN"/>
        </w:rPr>
        <w:t>the</w:t>
      </w:r>
      <w:r w:rsidR="00DB4192">
        <w:rPr>
          <w:lang w:eastAsia="zh-CN"/>
        </w:rPr>
        <w:t xml:space="preserve"> most</w:t>
      </w:r>
      <w:r w:rsidR="00844682">
        <w:rPr>
          <w:lang w:eastAsia="zh-CN"/>
        </w:rPr>
        <w:t xml:space="preserve"> valuable for</w:t>
      </w:r>
      <w:r w:rsidR="00A4137E">
        <w:rPr>
          <w:lang w:eastAsia="zh-CN"/>
        </w:rPr>
        <w:t xml:space="preserve"> domestic overnight holiday tri</w:t>
      </w:r>
      <w:r w:rsidR="00844682">
        <w:rPr>
          <w:lang w:eastAsia="zh-CN"/>
        </w:rPr>
        <w:t xml:space="preserve">ps. Compared with the previous year, </w:t>
      </w:r>
      <w:r w:rsidR="002E0443">
        <w:rPr>
          <w:lang w:eastAsia="zh-CN"/>
        </w:rPr>
        <w:t xml:space="preserve">this was the only cohort to increase spend per night and spend per trip. This cohort </w:t>
      </w:r>
      <w:r w:rsidR="00CE46E8">
        <w:rPr>
          <w:lang w:eastAsia="zh-CN"/>
        </w:rPr>
        <w:t>(30</w:t>
      </w:r>
      <w:r w:rsidR="00426A97">
        <w:rPr>
          <w:lang w:eastAsia="zh-CN"/>
        </w:rPr>
        <w:t xml:space="preserve"> to </w:t>
      </w:r>
      <w:r w:rsidR="00CE46E8">
        <w:rPr>
          <w:lang w:eastAsia="zh-CN"/>
        </w:rPr>
        <w:t xml:space="preserve">44 years) </w:t>
      </w:r>
      <w:r w:rsidR="002E0443">
        <w:rPr>
          <w:lang w:eastAsia="zh-CN"/>
        </w:rPr>
        <w:t xml:space="preserve">has the highest probably of travelling </w:t>
      </w:r>
      <w:r w:rsidR="00771BEC">
        <w:rPr>
          <w:lang w:eastAsia="zh-CN"/>
        </w:rPr>
        <w:t xml:space="preserve">as a family group of parents and children, and the lowest probability of travelling </w:t>
      </w:r>
      <w:r w:rsidR="00127A8B">
        <w:rPr>
          <w:lang w:eastAsia="zh-CN"/>
        </w:rPr>
        <w:t xml:space="preserve">alone compared with the other age cohorts. </w:t>
      </w:r>
      <w:r w:rsidR="00244044">
        <w:rPr>
          <w:lang w:eastAsia="zh-CN"/>
        </w:rPr>
        <w:t xml:space="preserve">This cohort was proportionally more likely to holiday in Queensland </w:t>
      </w:r>
      <w:r w:rsidR="00CE220F">
        <w:rPr>
          <w:lang w:eastAsia="zh-CN"/>
        </w:rPr>
        <w:t>than the other age cohorts.</w:t>
      </w:r>
    </w:p>
    <w:p w14:paraId="460FA55C" w14:textId="630FFF69" w:rsidR="000516F2" w:rsidRDefault="00A26F90" w:rsidP="001566DC">
      <w:pPr>
        <w:rPr>
          <w:lang w:eastAsia="zh-CN"/>
        </w:rPr>
      </w:pPr>
      <w:r>
        <w:rPr>
          <w:lang w:eastAsia="zh-CN"/>
        </w:rPr>
        <w:t>In 2024, total spend on domestic overnight holidays declined by $0.4 billion</w:t>
      </w:r>
      <w:r w:rsidR="00AC3ADE">
        <w:rPr>
          <w:lang w:eastAsia="zh-CN"/>
        </w:rPr>
        <w:t xml:space="preserve"> (</w:t>
      </w:r>
      <w:r w:rsidR="007C5A19">
        <w:rPr>
          <w:lang w:eastAsia="zh-CN"/>
        </w:rPr>
        <w:t>-</w:t>
      </w:r>
      <w:r w:rsidR="00AC3ADE">
        <w:rPr>
          <w:lang w:eastAsia="zh-CN"/>
        </w:rPr>
        <w:t xml:space="preserve">1%). </w:t>
      </w:r>
      <w:r w:rsidR="002E4A2F">
        <w:rPr>
          <w:lang w:eastAsia="zh-CN"/>
        </w:rPr>
        <w:t>By category of spend,</w:t>
      </w:r>
      <w:r w:rsidR="00AC3ADE">
        <w:rPr>
          <w:lang w:eastAsia="zh-CN"/>
        </w:rPr>
        <w:t xml:space="preserve"> the</w:t>
      </w:r>
      <w:r w:rsidR="00001865">
        <w:rPr>
          <w:lang w:eastAsia="zh-CN"/>
        </w:rPr>
        <w:t xml:space="preserve">re were declines in spend on airfares, transportation, </w:t>
      </w:r>
      <w:r w:rsidR="007C5A19">
        <w:rPr>
          <w:lang w:eastAsia="zh-CN"/>
        </w:rPr>
        <w:t xml:space="preserve">tours, </w:t>
      </w:r>
      <w:r w:rsidR="00001865">
        <w:rPr>
          <w:lang w:eastAsia="zh-CN"/>
        </w:rPr>
        <w:t>accommodation, alcohol, drinks</w:t>
      </w:r>
      <w:r w:rsidR="005133F0">
        <w:rPr>
          <w:rStyle w:val="FootnoteReference"/>
          <w:lang w:eastAsia="zh-CN"/>
        </w:rPr>
        <w:footnoteReference w:id="2"/>
      </w:r>
      <w:r w:rsidR="00001865">
        <w:rPr>
          <w:lang w:eastAsia="zh-CN"/>
        </w:rPr>
        <w:t xml:space="preserve"> and shopping</w:t>
      </w:r>
      <w:r w:rsidR="00584BD9">
        <w:rPr>
          <w:lang w:eastAsia="zh-CN"/>
        </w:rPr>
        <w:t>. Spending on tours saw the</w:t>
      </w:r>
      <w:r w:rsidR="00AC3ADE">
        <w:rPr>
          <w:lang w:eastAsia="zh-CN"/>
        </w:rPr>
        <w:t xml:space="preserve"> largest </w:t>
      </w:r>
      <w:r w:rsidR="00584BD9">
        <w:rPr>
          <w:lang w:eastAsia="zh-CN"/>
        </w:rPr>
        <w:t xml:space="preserve">decline in 2024 of </w:t>
      </w:r>
      <w:r w:rsidR="0076725B">
        <w:rPr>
          <w:lang w:eastAsia="zh-CN"/>
        </w:rPr>
        <w:t>$0.7 billion (-25%)</w:t>
      </w:r>
      <w:r w:rsidR="004C7C09">
        <w:rPr>
          <w:lang w:eastAsia="zh-CN"/>
        </w:rPr>
        <w:t xml:space="preserve"> (Figure </w:t>
      </w:r>
      <w:r w:rsidR="008529DE">
        <w:rPr>
          <w:lang w:eastAsia="zh-CN"/>
        </w:rPr>
        <w:t>5</w:t>
      </w:r>
      <w:r w:rsidR="004C7C09">
        <w:rPr>
          <w:lang w:eastAsia="zh-CN"/>
        </w:rPr>
        <w:t>)</w:t>
      </w:r>
      <w:r w:rsidR="0076725B">
        <w:rPr>
          <w:lang w:eastAsia="zh-CN"/>
        </w:rPr>
        <w:t xml:space="preserve">. </w:t>
      </w:r>
      <w:r w:rsidR="004D6B0D">
        <w:rPr>
          <w:lang w:eastAsia="zh-CN"/>
        </w:rPr>
        <w:t>Partially offsetting these declines were increases in spending on groceries</w:t>
      </w:r>
      <w:r w:rsidR="00325D67">
        <w:rPr>
          <w:lang w:eastAsia="zh-CN"/>
        </w:rPr>
        <w:t xml:space="preserve"> for self-catering</w:t>
      </w:r>
      <w:r w:rsidR="004D6B0D">
        <w:rPr>
          <w:lang w:eastAsia="zh-CN"/>
        </w:rPr>
        <w:t xml:space="preserve"> (</w:t>
      </w:r>
      <w:r w:rsidR="00325D67">
        <w:rPr>
          <w:lang w:eastAsia="zh-CN"/>
        </w:rPr>
        <w:t>up</w:t>
      </w:r>
      <w:r w:rsidR="00643115">
        <w:rPr>
          <w:lang w:eastAsia="zh-CN"/>
        </w:rPr>
        <w:t xml:space="preserve"> $0.2 billion, 7%</w:t>
      </w:r>
      <w:r w:rsidR="004D6B0D">
        <w:rPr>
          <w:lang w:eastAsia="zh-CN"/>
        </w:rPr>
        <w:t xml:space="preserve">), takeaway and restaurant meals </w:t>
      </w:r>
      <w:r w:rsidR="00643115">
        <w:rPr>
          <w:lang w:eastAsia="zh-CN"/>
        </w:rPr>
        <w:t xml:space="preserve">(up $0.6 billion, 6%) </w:t>
      </w:r>
      <w:r w:rsidR="004D6B0D">
        <w:rPr>
          <w:lang w:eastAsia="zh-CN"/>
        </w:rPr>
        <w:t>and entertainment</w:t>
      </w:r>
      <w:r w:rsidR="00387574">
        <w:rPr>
          <w:lang w:eastAsia="zh-CN"/>
        </w:rPr>
        <w:t xml:space="preserve"> (up $0.2 billion, 5%)</w:t>
      </w:r>
      <w:r w:rsidR="004D6B0D">
        <w:rPr>
          <w:lang w:eastAsia="zh-CN"/>
        </w:rPr>
        <w:t>.</w:t>
      </w:r>
      <w:r w:rsidR="00350FC8">
        <w:rPr>
          <w:lang w:eastAsia="zh-CN"/>
        </w:rPr>
        <w:t xml:space="preserve"> </w:t>
      </w:r>
      <w:r w:rsidR="005044C7">
        <w:rPr>
          <w:lang w:eastAsia="zh-CN"/>
        </w:rPr>
        <w:t>This suggests that</w:t>
      </w:r>
      <w:r w:rsidR="00BD130F">
        <w:rPr>
          <w:lang w:eastAsia="zh-CN"/>
        </w:rPr>
        <w:t xml:space="preserve"> those</w:t>
      </w:r>
      <w:r w:rsidR="005044C7">
        <w:rPr>
          <w:lang w:eastAsia="zh-CN"/>
        </w:rPr>
        <w:t xml:space="preserve"> </w:t>
      </w:r>
      <w:r w:rsidR="00BD130F">
        <w:rPr>
          <w:lang w:eastAsia="zh-CN"/>
        </w:rPr>
        <w:t xml:space="preserve">travellers facing household budget pressures </w:t>
      </w:r>
      <w:r w:rsidR="000516F2">
        <w:rPr>
          <w:lang w:eastAsia="zh-CN"/>
        </w:rPr>
        <w:t>may have chosen to</w:t>
      </w:r>
      <w:r w:rsidR="001566DC">
        <w:rPr>
          <w:lang w:eastAsia="zh-CN"/>
        </w:rPr>
        <w:t xml:space="preserve"> </w:t>
      </w:r>
      <w:r w:rsidR="000516F2">
        <w:rPr>
          <w:lang w:eastAsia="zh-CN"/>
        </w:rPr>
        <w:t xml:space="preserve">forego some discretionary spending components of their trip like some shopping </w:t>
      </w:r>
      <w:r w:rsidR="001566DC">
        <w:rPr>
          <w:lang w:eastAsia="zh-CN"/>
        </w:rPr>
        <w:t>and/or purchase groceries for self-prepared meal during the trip instead of eating out every meal.</w:t>
      </w:r>
      <w:r w:rsidR="00F3634E">
        <w:rPr>
          <w:lang w:eastAsia="zh-CN"/>
        </w:rPr>
        <w:t xml:space="preserve"> The significant decline in spend on tours is </w:t>
      </w:r>
      <w:r w:rsidR="001E2C7D">
        <w:rPr>
          <w:lang w:eastAsia="zh-CN"/>
        </w:rPr>
        <w:t>likely to have</w:t>
      </w:r>
      <w:r w:rsidR="00386AB0">
        <w:rPr>
          <w:lang w:eastAsia="zh-CN"/>
        </w:rPr>
        <w:t xml:space="preserve"> negatively</w:t>
      </w:r>
      <w:r w:rsidR="001E2C7D">
        <w:rPr>
          <w:lang w:eastAsia="zh-CN"/>
        </w:rPr>
        <w:t xml:space="preserve"> affected revenue for tourism operators</w:t>
      </w:r>
      <w:r w:rsidR="00386AB0">
        <w:rPr>
          <w:lang w:eastAsia="zh-CN"/>
        </w:rPr>
        <w:t xml:space="preserve"> in that sector</w:t>
      </w:r>
      <w:r w:rsidR="001E2C7D">
        <w:rPr>
          <w:lang w:eastAsia="zh-CN"/>
        </w:rPr>
        <w:t>.</w:t>
      </w:r>
    </w:p>
    <w:p w14:paraId="4549D39F" w14:textId="78E6EEF6" w:rsidR="004C7C09" w:rsidRDefault="004C7C09" w:rsidP="004C7C09">
      <w:pPr>
        <w:pStyle w:val="ListBullet"/>
        <w:keepNext/>
        <w:numPr>
          <w:ilvl w:val="0"/>
          <w:numId w:val="0"/>
        </w:numPr>
        <w:spacing w:line="300" w:lineRule="atLeast"/>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8529DE">
        <w:rPr>
          <w:rFonts w:ascii="Verdana" w:eastAsiaTheme="minorHAnsi" w:hAnsi="Verdana"/>
          <w:b/>
          <w:bCs/>
          <w:noProof/>
          <w:color w:val="300050" w:themeColor="text2"/>
          <w:lang w:eastAsia="en-US"/>
        </w:rPr>
        <w:t>5</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Pr="00F9326C">
        <w:rPr>
          <w:rFonts w:ascii="Verdana" w:eastAsiaTheme="minorHAnsi" w:hAnsi="Verdana"/>
          <w:color w:val="300050" w:themeColor="text2"/>
          <w:lang w:eastAsia="en-US"/>
        </w:rPr>
        <w:t xml:space="preserve">Change in </w:t>
      </w:r>
      <w:r w:rsidR="00F9326C">
        <w:rPr>
          <w:rFonts w:ascii="Verdana" w:eastAsiaTheme="minorHAnsi" w:hAnsi="Verdana"/>
          <w:color w:val="300050" w:themeColor="text2"/>
          <w:lang w:eastAsia="en-US"/>
        </w:rPr>
        <w:t>s</w:t>
      </w:r>
      <w:r>
        <w:rPr>
          <w:rFonts w:ascii="Verdana" w:eastAsiaTheme="minorHAnsi" w:hAnsi="Verdana"/>
          <w:color w:val="300050" w:themeColor="text2"/>
          <w:lang w:eastAsia="en-US"/>
        </w:rPr>
        <w:t xml:space="preserve">pend on domestic overnight </w:t>
      </w:r>
      <w:r w:rsidR="00F9326C">
        <w:rPr>
          <w:rFonts w:ascii="Verdana" w:eastAsiaTheme="minorHAnsi" w:hAnsi="Verdana"/>
          <w:color w:val="300050" w:themeColor="text2"/>
          <w:lang w:eastAsia="en-US"/>
        </w:rPr>
        <w:t xml:space="preserve">holiday </w:t>
      </w:r>
      <w:r>
        <w:rPr>
          <w:rFonts w:ascii="Verdana" w:eastAsiaTheme="minorHAnsi" w:hAnsi="Verdana"/>
          <w:color w:val="300050" w:themeColor="text2"/>
          <w:lang w:eastAsia="en-US"/>
        </w:rPr>
        <w:t xml:space="preserve">trips by </w:t>
      </w:r>
      <w:r w:rsidR="00F9326C">
        <w:rPr>
          <w:rFonts w:ascii="Verdana" w:eastAsiaTheme="minorHAnsi" w:hAnsi="Verdana"/>
          <w:color w:val="300050" w:themeColor="text2"/>
          <w:lang w:eastAsia="en-US"/>
        </w:rPr>
        <w:t>category</w:t>
      </w:r>
      <w:r>
        <w:rPr>
          <w:rFonts w:ascii="Verdana" w:eastAsiaTheme="minorHAnsi" w:hAnsi="Verdana"/>
          <w:color w:val="300050" w:themeColor="text2"/>
          <w:lang w:eastAsia="en-US"/>
        </w:rPr>
        <w:t xml:space="preserve"> in Australia in 2024</w:t>
      </w:r>
      <w:r w:rsidR="00F9326C">
        <w:rPr>
          <w:rFonts w:ascii="Verdana" w:eastAsiaTheme="minorHAnsi" w:hAnsi="Verdana"/>
          <w:color w:val="300050" w:themeColor="text2"/>
          <w:lang w:eastAsia="en-US"/>
        </w:rPr>
        <w:t xml:space="preserve"> compared with 2023</w:t>
      </w:r>
      <w:r>
        <w:rPr>
          <w:rFonts w:ascii="Verdana" w:eastAsiaTheme="minorHAnsi" w:hAnsi="Verdana"/>
          <w:color w:val="300050" w:themeColor="text2"/>
          <w:lang w:eastAsia="en-US"/>
        </w:rPr>
        <w:t>.</w:t>
      </w:r>
    </w:p>
    <w:p w14:paraId="16453B22" w14:textId="14ACA105" w:rsidR="00B866C5" w:rsidRDefault="00396B21" w:rsidP="00AD60EF">
      <w:pPr>
        <w:spacing w:line="240" w:lineRule="atLeast"/>
        <w:jc w:val="center"/>
        <w:rPr>
          <w:lang w:eastAsia="zh-CN"/>
        </w:rPr>
      </w:pPr>
      <w:r w:rsidRPr="00396B21">
        <w:rPr>
          <w:noProof/>
        </w:rPr>
        <w:drawing>
          <wp:inline distT="0" distB="0" distL="0" distR="0" wp14:anchorId="3CAA3BEF" wp14:editId="20A5133C">
            <wp:extent cx="4935600" cy="3600000"/>
            <wp:effectExtent l="0" t="0" r="0" b="635"/>
            <wp:docPr id="2068491202" name="Picture 12" descr="This bar chart shows the change in spend on domestic overnight holiday trips by category of spend between 2023 and 2024 (as a %). There was an increase in spending on 3 categories: groceries, takeaway &amp; restaurants, and entertainment. There was a decrease in spend on 4 categories: transportation, shopping, alcohol and drinks, and tours.  Overall, domestic overnight holiday spend declined by 1% in 2024 compared wit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91202" name="Picture 12" descr="This bar chart shows the change in spend on domestic overnight holiday trips by category of spend between 2023 and 2024 (as a %). There was an increase in spending on 3 categories: groceries, takeaway &amp; restaurants, and entertainment. There was a decrease in spend on 4 categories: transportation, shopping, alcohol and drinks, and tours.  Overall, domestic overnight holiday spend declined by 1% in 2024 compared with 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5600" cy="3600000"/>
                    </a:xfrm>
                    <a:prstGeom prst="rect">
                      <a:avLst/>
                    </a:prstGeom>
                    <a:noFill/>
                    <a:ln>
                      <a:noFill/>
                    </a:ln>
                  </pic:spPr>
                </pic:pic>
              </a:graphicData>
            </a:graphic>
          </wp:inline>
        </w:drawing>
      </w:r>
    </w:p>
    <w:p w14:paraId="6314F283" w14:textId="660C6704" w:rsidR="001E0EE7" w:rsidRPr="00CF6B6F" w:rsidRDefault="00520A2A" w:rsidP="00CF6B6F">
      <w:pPr>
        <w:rPr>
          <w:lang w:eastAsia="zh-CN"/>
        </w:rPr>
      </w:pPr>
      <w:r>
        <w:rPr>
          <w:lang w:eastAsia="zh-CN"/>
        </w:rPr>
        <w:lastRenderedPageBreak/>
        <w:t>The cohort of domestic overnight holiday travellers aged 30</w:t>
      </w:r>
      <w:r w:rsidR="00426A97">
        <w:rPr>
          <w:lang w:eastAsia="zh-CN"/>
        </w:rPr>
        <w:t xml:space="preserve"> to </w:t>
      </w:r>
      <w:r>
        <w:rPr>
          <w:lang w:eastAsia="zh-CN"/>
        </w:rPr>
        <w:t xml:space="preserve">44, was the only cohort to increase spending on tours in 2024 compared with the previous year. </w:t>
      </w:r>
      <w:r w:rsidR="00D772D4">
        <w:rPr>
          <w:lang w:eastAsia="zh-CN"/>
        </w:rPr>
        <w:t xml:space="preserve">This cohort also drove the increase in spend on entertainment, along with the cohort aged </w:t>
      </w:r>
      <w:r w:rsidR="00FB6AA5">
        <w:rPr>
          <w:lang w:eastAsia="zh-CN"/>
        </w:rPr>
        <w:t>45</w:t>
      </w:r>
      <w:r w:rsidR="00426A97">
        <w:rPr>
          <w:lang w:eastAsia="zh-CN"/>
        </w:rPr>
        <w:t xml:space="preserve"> to </w:t>
      </w:r>
      <w:r w:rsidR="00FB6AA5">
        <w:rPr>
          <w:lang w:eastAsia="zh-CN"/>
        </w:rPr>
        <w:t>59 year, while all other cohorts reduced their spending on entertainment.</w:t>
      </w:r>
      <w:r w:rsidR="001E3BAD">
        <w:rPr>
          <w:lang w:eastAsia="zh-CN"/>
        </w:rPr>
        <w:t xml:space="preserve"> All age cohorts increased spending on groceries for self-catering</w:t>
      </w:r>
      <w:r w:rsidR="006B4FCE">
        <w:rPr>
          <w:lang w:eastAsia="zh-CN"/>
        </w:rPr>
        <w:t xml:space="preserve"> and spending on takeaway and restaurant meals. Most age cohorts reduced spending on airfares, transportation and shopping. </w:t>
      </w:r>
    </w:p>
    <w:p w14:paraId="44AEAEC1" w14:textId="5FABF64E" w:rsidR="00512B75" w:rsidRDefault="00512B75" w:rsidP="004051AF">
      <w:pPr>
        <w:pStyle w:val="Quote"/>
        <w:rPr>
          <w:lang w:eastAsia="zh-CN"/>
        </w:rPr>
      </w:pPr>
      <w:r>
        <w:rPr>
          <w:lang w:eastAsia="zh-CN"/>
        </w:rPr>
        <w:t xml:space="preserve">Key insights: </w:t>
      </w:r>
    </w:p>
    <w:p w14:paraId="79E3F6D0" w14:textId="3040537D" w:rsidR="00990DF7" w:rsidRDefault="001773CA" w:rsidP="001E0EE7">
      <w:pPr>
        <w:rPr>
          <w:lang w:eastAsia="zh-CN"/>
        </w:rPr>
      </w:pPr>
      <w:r w:rsidRPr="007B4CBB">
        <w:rPr>
          <w:b/>
          <w:bCs/>
          <w:lang w:eastAsia="zh-CN"/>
        </w:rPr>
        <w:t>Domestic overnight holiday travel</w:t>
      </w:r>
      <w:r>
        <w:rPr>
          <w:lang w:eastAsia="zh-CN"/>
        </w:rPr>
        <w:t xml:space="preserve"> is the most valuable tourism type for Australia</w:t>
      </w:r>
      <w:r w:rsidR="00BA52F0">
        <w:rPr>
          <w:lang w:eastAsia="zh-CN"/>
        </w:rPr>
        <w:t xml:space="preserve">. </w:t>
      </w:r>
      <w:r w:rsidR="007B5E46">
        <w:rPr>
          <w:lang w:eastAsia="zh-CN"/>
        </w:rPr>
        <w:t>Holiday trips by th</w:t>
      </w:r>
      <w:r w:rsidR="000B5C76">
        <w:rPr>
          <w:lang w:eastAsia="zh-CN"/>
        </w:rPr>
        <w:t>ose aged in th</w:t>
      </w:r>
      <w:r w:rsidR="007B5E46">
        <w:rPr>
          <w:lang w:eastAsia="zh-CN"/>
        </w:rPr>
        <w:t xml:space="preserve">e middle cohorts </w:t>
      </w:r>
      <w:r w:rsidR="000B5C76">
        <w:rPr>
          <w:lang w:eastAsia="zh-CN"/>
        </w:rPr>
        <w:t xml:space="preserve">typically have higher spend. In 2024, </w:t>
      </w:r>
      <w:r w:rsidR="00032376">
        <w:rPr>
          <w:lang w:eastAsia="zh-CN"/>
        </w:rPr>
        <w:t>holiday-makers spent substantially less on</w:t>
      </w:r>
      <w:r w:rsidR="000B5C76">
        <w:rPr>
          <w:lang w:eastAsia="zh-CN"/>
        </w:rPr>
        <w:t xml:space="preserve"> tours compared with the previous year. There was also less spending on transportation</w:t>
      </w:r>
      <w:r w:rsidR="00615E49">
        <w:rPr>
          <w:lang w:eastAsia="zh-CN"/>
        </w:rPr>
        <w:t>, accommodation and alcohol but increased spending on groceries, purchased meals</w:t>
      </w:r>
      <w:r w:rsidR="00032376">
        <w:rPr>
          <w:lang w:eastAsia="zh-CN"/>
        </w:rPr>
        <w:t xml:space="preserve"> and entertainment.</w:t>
      </w:r>
    </w:p>
    <w:p w14:paraId="2F404512" w14:textId="77777777" w:rsidR="00F147A1" w:rsidRDefault="00F147A1" w:rsidP="001E0EE7">
      <w:pPr>
        <w:rPr>
          <w:lang w:eastAsia="zh-CN"/>
        </w:rPr>
      </w:pPr>
    </w:p>
    <w:p w14:paraId="2F477499" w14:textId="29F3D882" w:rsidR="00F147A1" w:rsidRDefault="00F147A1" w:rsidP="00465D4D">
      <w:pPr>
        <w:pStyle w:val="Quote"/>
        <w:ind w:left="567" w:right="45"/>
        <w:rPr>
          <w:lang w:eastAsia="zh-CN"/>
        </w:rPr>
      </w:pPr>
      <w:bookmarkStart w:id="16" w:name="_Hlk199058463"/>
      <w:r>
        <w:rPr>
          <w:lang w:eastAsia="zh-CN"/>
        </w:rPr>
        <w:t xml:space="preserve">Case study: </w:t>
      </w:r>
      <w:r w:rsidR="00EB4799">
        <w:rPr>
          <w:lang w:eastAsia="zh-CN"/>
        </w:rPr>
        <w:t>Events and tourism –</w:t>
      </w:r>
      <w:r w:rsidR="00EE27CC">
        <w:rPr>
          <w:lang w:eastAsia="zh-CN"/>
        </w:rPr>
        <w:t xml:space="preserve"> </w:t>
      </w:r>
      <w:r>
        <w:rPr>
          <w:lang w:eastAsia="zh-CN"/>
        </w:rPr>
        <w:t>Handpicked Festival</w:t>
      </w:r>
    </w:p>
    <w:p w14:paraId="6E96298B" w14:textId="3766F7DA" w:rsidR="00EB4799" w:rsidRPr="00EB4799" w:rsidRDefault="00EB4799" w:rsidP="00465D4D">
      <w:pPr>
        <w:ind w:left="567" w:right="45"/>
        <w:rPr>
          <w:lang w:eastAsia="zh-CN"/>
        </w:rPr>
      </w:pPr>
      <w:r w:rsidRPr="00EB4799">
        <w:rPr>
          <w:lang w:eastAsia="zh-CN"/>
        </w:rPr>
        <w:t xml:space="preserve">Regional events support the South Australian tourism industry by celebrating host regions’ unique qualities, offering authentic experiences and bringing communities together. The South Australian Tourism Commission (SATC) provides support through its Regional Events Fund to promote South Australia as a tourism destination. One of the events benefitting from this fund is Handpicked Festival, a crafted experience in Langhorne Creek, a wine and agricultural community on the Fleurieu Peninsula. </w:t>
      </w:r>
    </w:p>
    <w:p w14:paraId="11C4B0C9" w14:textId="77777777" w:rsidR="00EB4799" w:rsidRPr="00EB4799" w:rsidRDefault="00EB4799" w:rsidP="00465D4D">
      <w:pPr>
        <w:ind w:left="567" w:right="45"/>
        <w:rPr>
          <w:lang w:eastAsia="zh-CN"/>
        </w:rPr>
      </w:pPr>
      <w:r w:rsidRPr="00EB4799">
        <w:rPr>
          <w:lang w:eastAsia="zh-CN"/>
        </w:rPr>
        <w:t>Handpicked Festival captivates audiences with its intimate outdoor setting, diverse lineup and selection of food and drinks. Headline artists such as Missy Higgins, Pete Murray and Hilltop Hoods – with a variety of talented South Australian musicians – shape a sell-out, family-friendly atmosphere that is welcoming to all. The Regional Event Fund program has played a pivotal role in achieving marketing objectives, driving attendee engagement and positioning the Handpicked Festival for sustained growth and future success. In the 10 years since its inception, ticket sales to Handpicked have grown by 383% to reach 7,547 in 2024. Ongoing community consultation and a deep understanding of the drivers behind regional visitation will continue to underpin these outcomes.</w:t>
      </w:r>
    </w:p>
    <w:p w14:paraId="41BEC917" w14:textId="77777777" w:rsidR="00EB4799" w:rsidRPr="00EB4799" w:rsidRDefault="00EB4799" w:rsidP="00465D4D">
      <w:pPr>
        <w:ind w:left="567" w:right="45"/>
        <w:rPr>
          <w:lang w:eastAsia="zh-CN"/>
        </w:rPr>
      </w:pPr>
      <w:r w:rsidRPr="00EB4799">
        <w:rPr>
          <w:lang w:eastAsia="zh-CN"/>
        </w:rPr>
        <w:t xml:space="preserve">Successfully hosting the Handpicked Festival gives a tangible boost to the local tourism sector and provides other deeply valuable benefits such as a sense of pride, resilience and optimism. </w:t>
      </w:r>
    </w:p>
    <w:p w14:paraId="49B724CC" w14:textId="01FEDC48" w:rsidR="00F147A1" w:rsidRDefault="009859DE" w:rsidP="00465D4D">
      <w:pPr>
        <w:pStyle w:val="Quote"/>
        <w:ind w:left="567" w:right="45"/>
        <w:rPr>
          <w:lang w:eastAsia="zh-CN"/>
        </w:rPr>
      </w:pPr>
      <w:r>
        <w:rPr>
          <w:lang w:eastAsia="zh-CN"/>
        </w:rPr>
        <w:t>Case study p</w:t>
      </w:r>
      <w:r w:rsidR="00F147A1">
        <w:rPr>
          <w:lang w:eastAsia="zh-CN"/>
        </w:rPr>
        <w:t xml:space="preserve">rovided by the South Australian Tourism Commission </w:t>
      </w:r>
    </w:p>
    <w:bookmarkEnd w:id="16"/>
    <w:p w14:paraId="41BD5447" w14:textId="77777777" w:rsidR="00F147A1" w:rsidRDefault="00F147A1" w:rsidP="001E0EE7">
      <w:pPr>
        <w:rPr>
          <w:bCs/>
          <w:sz w:val="26"/>
          <w:szCs w:val="24"/>
        </w:rPr>
      </w:pPr>
    </w:p>
    <w:p w14:paraId="102E3886" w14:textId="5E9AF633" w:rsidR="001A6124" w:rsidRDefault="001A6124" w:rsidP="001A6124">
      <w:pPr>
        <w:pStyle w:val="Heading4"/>
      </w:pPr>
      <w:r>
        <w:t>Domestic business trips</w:t>
      </w:r>
    </w:p>
    <w:p w14:paraId="68F47318" w14:textId="77777777" w:rsidR="003334A5" w:rsidRDefault="00AE23C4" w:rsidP="003334A5">
      <w:pPr>
        <w:spacing w:line="300" w:lineRule="atLeast"/>
        <w:rPr>
          <w:lang w:eastAsia="zh-CN"/>
        </w:rPr>
      </w:pPr>
      <w:r w:rsidRPr="00AE23C4">
        <w:t>B</w:t>
      </w:r>
      <w:r w:rsidR="006037B6" w:rsidRPr="00AE23C4">
        <w:t xml:space="preserve">usiness </w:t>
      </w:r>
      <w:r w:rsidRPr="00AE23C4">
        <w:t xml:space="preserve">travel accounted for the second largest share of domestic overnight spend </w:t>
      </w:r>
      <w:r w:rsidR="006037B6" w:rsidRPr="00AE23C4">
        <w:t>in 2024.</w:t>
      </w:r>
      <w:r w:rsidRPr="00AE23C4">
        <w:t xml:space="preserve"> In contrast to holiday trips, domestic overnight spend on business trips increased </w:t>
      </w:r>
      <w:r w:rsidR="004E43DA">
        <w:t xml:space="preserve">(by 3%) </w:t>
      </w:r>
      <w:r w:rsidRPr="00AE23C4">
        <w:t>in 2024 compared with the previous</w:t>
      </w:r>
      <w:r>
        <w:rPr>
          <w:lang w:eastAsia="zh-CN"/>
        </w:rPr>
        <w:t xml:space="preserve"> year. </w:t>
      </w:r>
      <w:r w:rsidR="00CC09E4">
        <w:rPr>
          <w:lang w:eastAsia="zh-CN"/>
        </w:rPr>
        <w:t xml:space="preserve">There were </w:t>
      </w:r>
      <w:r w:rsidR="00340945">
        <w:rPr>
          <w:lang w:eastAsia="zh-CN"/>
        </w:rPr>
        <w:t xml:space="preserve">1.5 million more domestic business trips in 2024 than in the previous year, an increase of 6.4%. </w:t>
      </w:r>
      <w:r w:rsidR="004C0F6F">
        <w:rPr>
          <w:lang w:eastAsia="zh-CN"/>
        </w:rPr>
        <w:t xml:space="preserve">Growth in business travel </w:t>
      </w:r>
      <w:r w:rsidR="004D1D07">
        <w:rPr>
          <w:lang w:eastAsia="zh-CN"/>
        </w:rPr>
        <w:t>indicates th</w:t>
      </w:r>
      <w:r w:rsidR="00BD5E46">
        <w:rPr>
          <w:lang w:eastAsia="zh-CN"/>
        </w:rPr>
        <w:t>at busine</w:t>
      </w:r>
      <w:r w:rsidR="009072B7">
        <w:rPr>
          <w:lang w:eastAsia="zh-CN"/>
        </w:rPr>
        <w:t>s</w:t>
      </w:r>
      <w:r w:rsidR="00BD5E46">
        <w:rPr>
          <w:lang w:eastAsia="zh-CN"/>
        </w:rPr>
        <w:t xml:space="preserve">ses are increasingly </w:t>
      </w:r>
      <w:r w:rsidR="00944F6A">
        <w:rPr>
          <w:lang w:eastAsia="zh-CN"/>
        </w:rPr>
        <w:t xml:space="preserve">engaging in face-to-face meetings and events after </w:t>
      </w:r>
      <w:r w:rsidR="009072B7">
        <w:rPr>
          <w:lang w:eastAsia="zh-CN"/>
        </w:rPr>
        <w:t xml:space="preserve">the prolonged </w:t>
      </w:r>
      <w:r w:rsidR="009072B7">
        <w:rPr>
          <w:lang w:eastAsia="zh-CN"/>
        </w:rPr>
        <w:lastRenderedPageBreak/>
        <w:t xml:space="preserve">period of reduced </w:t>
      </w:r>
      <w:r w:rsidR="00DF71F1">
        <w:rPr>
          <w:lang w:eastAsia="zh-CN"/>
        </w:rPr>
        <w:t xml:space="preserve">business travel </w:t>
      </w:r>
      <w:r w:rsidR="009072B7">
        <w:rPr>
          <w:lang w:eastAsia="zh-CN"/>
        </w:rPr>
        <w:t xml:space="preserve">after </w:t>
      </w:r>
      <w:r w:rsidR="00DF71F1">
        <w:rPr>
          <w:lang w:eastAsia="zh-CN"/>
        </w:rPr>
        <w:t xml:space="preserve">the </w:t>
      </w:r>
      <w:r w:rsidR="00DA3913">
        <w:rPr>
          <w:lang w:eastAsia="zh-CN"/>
        </w:rPr>
        <w:t>pandemic.</w:t>
      </w:r>
      <w:r w:rsidR="00E31150">
        <w:rPr>
          <w:lang w:eastAsia="zh-CN"/>
        </w:rPr>
        <w:t xml:space="preserve"> Nevertheless, businesses likely faced tight travel budgets in 2024, </w:t>
      </w:r>
      <w:r w:rsidR="00F15C7F">
        <w:rPr>
          <w:lang w:eastAsia="zh-CN"/>
        </w:rPr>
        <w:t>leading</w:t>
      </w:r>
      <w:r w:rsidR="00DD61A7">
        <w:rPr>
          <w:lang w:eastAsia="zh-CN"/>
        </w:rPr>
        <w:t xml:space="preserve"> to a pull-back in average spend per night. </w:t>
      </w:r>
      <w:r w:rsidR="009072B7">
        <w:rPr>
          <w:lang w:eastAsia="zh-CN"/>
        </w:rPr>
        <w:t xml:space="preserve"> </w:t>
      </w:r>
    </w:p>
    <w:p w14:paraId="3C3C92C0" w14:textId="7AC16960" w:rsidR="003334A5" w:rsidRDefault="003334A5" w:rsidP="003334A5">
      <w:pPr>
        <w:spacing w:line="300" w:lineRule="atLeast"/>
      </w:pPr>
      <w:r>
        <w:rPr>
          <w:lang w:eastAsia="zh-CN"/>
        </w:rPr>
        <w:t xml:space="preserve">The average </w:t>
      </w:r>
      <w:r w:rsidRPr="009C2401">
        <w:t xml:space="preserve">spend per business trip in 2024 was around $1,100, down by </w:t>
      </w:r>
      <w:r>
        <w:t>3</w:t>
      </w:r>
      <w:r w:rsidRPr="009C2401">
        <w:t xml:space="preserve">% compared with the previous year. </w:t>
      </w:r>
      <w:r>
        <w:t xml:space="preserve">The average spend on intrastate business trips declined by 6% to $736, while the average spend on interstate business trips declined by 3% to $1,522. </w:t>
      </w:r>
    </w:p>
    <w:p w14:paraId="087FD075" w14:textId="77777777" w:rsidR="00D61127" w:rsidRDefault="00D61127" w:rsidP="00D61127">
      <w:pPr>
        <w:spacing w:line="300" w:lineRule="atLeast"/>
        <w:rPr>
          <w:lang w:eastAsia="zh-CN"/>
        </w:rPr>
      </w:pPr>
      <w:r>
        <w:t xml:space="preserve">Compared with the previous year, total overnight business trip spending on tours declined markedly in 2024 (by 32%, or $550 million). Spend on alcohol, shopping and entertainment also fell in 2024. Meanwhile, there were </w:t>
      </w:r>
      <w:r>
        <w:rPr>
          <w:lang w:eastAsia="zh-CN"/>
        </w:rPr>
        <w:t>increases in business trip spending on airfares, transportation, groceries and meals. This is a similar adjustment to spending patterns as was observed for holiday trips, discussed above.</w:t>
      </w:r>
    </w:p>
    <w:p w14:paraId="2A6CC337" w14:textId="77777777" w:rsidR="00D61127" w:rsidRDefault="00D61127" w:rsidP="00D61127">
      <w:pPr>
        <w:spacing w:line="300" w:lineRule="atLeast"/>
        <w:rPr>
          <w:lang w:eastAsia="zh-CN"/>
        </w:rPr>
      </w:pPr>
      <w:r>
        <w:rPr>
          <w:lang w:eastAsia="zh-CN"/>
        </w:rPr>
        <w:t>Business travellers are less likely than holiday-makers to engage in a range of social, sporting, arts &amp; heritage, outdoor or touristic activities while on their trip. However, business travellers are twice as likely as holiday-makers to engage in the following First Nations experiences: attend Aboriginal performance, participate in traditional activities, and have an Aboriginal food experience. These activities are often included in the agendas of large business meetings and conferences.</w:t>
      </w:r>
    </w:p>
    <w:p w14:paraId="6DB59C4F" w14:textId="24D9D753" w:rsidR="00AE23C4" w:rsidRPr="00950883" w:rsidRDefault="006F7C73" w:rsidP="00950883">
      <w:pPr>
        <w:spacing w:line="300" w:lineRule="atLeast"/>
      </w:pPr>
      <w:r>
        <w:t xml:space="preserve">While New </w:t>
      </w:r>
      <w:r w:rsidRPr="00950883">
        <w:t>South Wales attracted the largest number of business trips in 2024, the share of business trips in the state</w:t>
      </w:r>
      <w:r w:rsidR="00BA7831" w:rsidRPr="00950883">
        <w:t xml:space="preserve"> (29%)</w:t>
      </w:r>
      <w:r w:rsidRPr="00950883">
        <w:t xml:space="preserve"> </w:t>
      </w:r>
      <w:r w:rsidR="00BA7831" w:rsidRPr="00950883">
        <w:t>was</w:t>
      </w:r>
      <w:r w:rsidRPr="00950883">
        <w:t xml:space="preserve"> lower than the state’s overall share of trips</w:t>
      </w:r>
      <w:r w:rsidR="00BA7831" w:rsidRPr="00950883">
        <w:t xml:space="preserve"> (33%). In contrast, </w:t>
      </w:r>
      <w:r w:rsidR="00402991" w:rsidRPr="00950883">
        <w:t xml:space="preserve">Queensland and Western Australia attracted a </w:t>
      </w:r>
      <w:r w:rsidR="00E23BE9" w:rsidRPr="00950883">
        <w:t xml:space="preserve">comparatively </w:t>
      </w:r>
      <w:r w:rsidR="00402991" w:rsidRPr="00950883">
        <w:t>larger share of business trips</w:t>
      </w:r>
      <w:r w:rsidR="00E23BE9" w:rsidRPr="00950883">
        <w:t xml:space="preserve"> (Table 2).</w:t>
      </w:r>
      <w:r w:rsidR="00563108">
        <w:t xml:space="preserve"> Cautious </w:t>
      </w:r>
    </w:p>
    <w:p w14:paraId="15E4CC20" w14:textId="1798B4DE" w:rsidR="00FF5C72" w:rsidRPr="000E0B97" w:rsidRDefault="00FF5C72" w:rsidP="00FF5C72">
      <w:pPr>
        <w:pStyle w:val="ListBullet"/>
        <w:keepNext/>
        <w:numPr>
          <w:ilvl w:val="0"/>
          <w:numId w:val="0"/>
        </w:numPr>
        <w:spacing w:after="120" w:line="300" w:lineRule="atLeast"/>
        <w:rPr>
          <w:rFonts w:ascii="Verdana" w:eastAsiaTheme="minorHAnsi" w:hAnsi="Verdana"/>
          <w:b/>
          <w:bCs/>
          <w:color w:val="300050" w:themeColor="text2"/>
          <w:lang w:eastAsia="en-US"/>
        </w:rPr>
      </w:pPr>
      <w:r w:rsidRPr="000E0B97">
        <w:rPr>
          <w:rFonts w:ascii="Verdana" w:eastAsiaTheme="minorHAnsi" w:hAnsi="Verdana"/>
          <w:b/>
          <w:bCs/>
          <w:color w:val="300050" w:themeColor="text2"/>
          <w:lang w:eastAsia="en-US"/>
        </w:rPr>
        <w:t>Table</w:t>
      </w:r>
      <w:r>
        <w:rPr>
          <w:rFonts w:ascii="Verdana" w:eastAsiaTheme="minorHAnsi" w:hAnsi="Verdana"/>
          <w:b/>
          <w:bCs/>
          <w:color w:val="300050" w:themeColor="text2"/>
          <w:lang w:eastAsia="en-US"/>
        </w:rPr>
        <w:t xml:space="preserve"> 2</w:t>
      </w:r>
      <w:r w:rsidRPr="000E0B97">
        <w:rPr>
          <w:rFonts w:ascii="Verdana" w:eastAsiaTheme="minorHAnsi" w:hAnsi="Verdana"/>
          <w:b/>
          <w:bCs/>
          <w:color w:val="300050" w:themeColor="text2"/>
          <w:lang w:eastAsia="en-US"/>
        </w:rPr>
        <w:t xml:space="preserve">: </w:t>
      </w:r>
      <w:r w:rsidRPr="000E0B97">
        <w:rPr>
          <w:rFonts w:ascii="Verdana" w:eastAsiaTheme="minorHAnsi" w:hAnsi="Verdana"/>
          <w:color w:val="300050" w:themeColor="text2"/>
          <w:lang w:eastAsia="en-US"/>
        </w:rPr>
        <w:t xml:space="preserve">Domestic overnight </w:t>
      </w:r>
      <w:r>
        <w:rPr>
          <w:rFonts w:ascii="Verdana" w:eastAsiaTheme="minorHAnsi" w:hAnsi="Verdana"/>
          <w:b/>
          <w:bCs/>
          <w:color w:val="300050" w:themeColor="text2"/>
          <w:lang w:eastAsia="en-US"/>
        </w:rPr>
        <w:t>business</w:t>
      </w:r>
      <w:r>
        <w:rPr>
          <w:rFonts w:ascii="Verdana" w:eastAsiaTheme="minorHAnsi" w:hAnsi="Verdana"/>
          <w:color w:val="300050" w:themeColor="text2"/>
          <w:lang w:eastAsia="en-US"/>
        </w:rPr>
        <w:t xml:space="preserve"> </w:t>
      </w:r>
      <w:r w:rsidRPr="000E0B97">
        <w:rPr>
          <w:rFonts w:ascii="Verdana" w:eastAsiaTheme="minorHAnsi" w:hAnsi="Verdana"/>
          <w:color w:val="300050" w:themeColor="text2"/>
          <w:lang w:eastAsia="en-US"/>
        </w:rPr>
        <w:t>trip</w:t>
      </w:r>
      <w:r>
        <w:rPr>
          <w:rFonts w:ascii="Verdana" w:eastAsiaTheme="minorHAnsi" w:hAnsi="Verdana"/>
          <w:color w:val="300050" w:themeColor="text2"/>
          <w:lang w:eastAsia="en-US"/>
        </w:rPr>
        <w:t>s</w:t>
      </w:r>
      <w:r w:rsidRPr="000E0B97">
        <w:rPr>
          <w:rFonts w:ascii="Verdana" w:eastAsiaTheme="minorHAnsi" w:hAnsi="Verdana"/>
          <w:color w:val="300050" w:themeColor="text2"/>
          <w:lang w:eastAsia="en-US"/>
        </w:rPr>
        <w:t xml:space="preserve"> by </w:t>
      </w:r>
      <w:r>
        <w:rPr>
          <w:rFonts w:ascii="Verdana" w:eastAsiaTheme="minorHAnsi" w:hAnsi="Verdana"/>
          <w:color w:val="300050" w:themeColor="text2"/>
          <w:lang w:eastAsia="en-US"/>
        </w:rPr>
        <w:t>state</w:t>
      </w:r>
      <w:r w:rsidRPr="000E0B97">
        <w:rPr>
          <w:rFonts w:ascii="Verdana" w:eastAsiaTheme="minorHAnsi" w:hAnsi="Verdana"/>
          <w:color w:val="300050" w:themeColor="text2"/>
          <w:lang w:eastAsia="en-US"/>
        </w:rPr>
        <w:t xml:space="preserve"> in 2024.</w:t>
      </w:r>
    </w:p>
    <w:tbl>
      <w:tblPr>
        <w:tblStyle w:val="TableGrid"/>
        <w:tblW w:w="5000" w:type="pct"/>
        <w:tblLook w:val="04A0" w:firstRow="1" w:lastRow="0" w:firstColumn="1" w:lastColumn="0" w:noHBand="0" w:noVBand="1"/>
        <w:tblCaption w:val="Domestic overnight business trips by state/territory in 2024"/>
        <w:tblDescription w:val="Table shows the following information for each of the 8 states and territories in Australia as well as the total: the state share of total domestic travel, the state share of all business trips, the number of business trips to the state, the change in the number of business trips in 2024 compared with 2023 and the change in the spend on business trips in 2024 compared with 2023. "/>
      </w:tblPr>
      <w:tblGrid>
        <w:gridCol w:w="1895"/>
        <w:gridCol w:w="1648"/>
        <w:gridCol w:w="1392"/>
        <w:gridCol w:w="1675"/>
        <w:gridCol w:w="1675"/>
        <w:gridCol w:w="1673"/>
      </w:tblGrid>
      <w:tr w:rsidR="00F3435D" w:rsidRPr="003A58AB" w14:paraId="6A845037" w14:textId="3A857A8A" w:rsidTr="00070E81">
        <w:trPr>
          <w:trHeight w:val="1287"/>
          <w:tblHeader/>
        </w:trPr>
        <w:tc>
          <w:tcPr>
            <w:tcW w:w="951" w:type="pct"/>
            <w:shd w:val="clear" w:color="auto" w:fill="300050" w:themeFill="text2"/>
            <w:vAlign w:val="center"/>
          </w:tcPr>
          <w:p w14:paraId="0577B614" w14:textId="7881574A" w:rsidR="00F3435D" w:rsidRPr="003A58AB" w:rsidRDefault="00F3435D" w:rsidP="00286ECB">
            <w:pPr>
              <w:spacing w:before="0" w:after="120" w:line="240" w:lineRule="auto"/>
              <w:rPr>
                <w:b/>
                <w:color w:val="FFFFFF" w:themeColor="background1"/>
              </w:rPr>
            </w:pPr>
            <w:r>
              <w:rPr>
                <w:b/>
                <w:color w:val="FFFFFF" w:themeColor="background1"/>
              </w:rPr>
              <w:t>State/territory</w:t>
            </w:r>
          </w:p>
        </w:tc>
        <w:tc>
          <w:tcPr>
            <w:tcW w:w="827" w:type="pct"/>
            <w:shd w:val="clear" w:color="auto" w:fill="300050" w:themeFill="text2"/>
            <w:vAlign w:val="center"/>
          </w:tcPr>
          <w:p w14:paraId="3B097B44" w14:textId="77777777" w:rsidR="00F3435D" w:rsidRDefault="00F3435D" w:rsidP="00286ECB">
            <w:pPr>
              <w:spacing w:before="0" w:after="120" w:line="240" w:lineRule="auto"/>
              <w:jc w:val="center"/>
              <w:rPr>
                <w:b/>
                <w:color w:val="FFFFFF" w:themeColor="background1"/>
              </w:rPr>
            </w:pPr>
            <w:r>
              <w:rPr>
                <w:b/>
                <w:color w:val="FFFFFF" w:themeColor="background1"/>
              </w:rPr>
              <w:t>Share of domestic travel</w:t>
            </w:r>
          </w:p>
          <w:p w14:paraId="3BAA6EED" w14:textId="75CAA5C2" w:rsidR="00F3435D" w:rsidRDefault="00F3435D" w:rsidP="00286ECB">
            <w:pPr>
              <w:spacing w:before="0" w:after="120" w:line="240" w:lineRule="auto"/>
              <w:jc w:val="center"/>
              <w:rPr>
                <w:b/>
                <w:color w:val="FFFFFF" w:themeColor="background1"/>
              </w:rPr>
            </w:pPr>
            <w:r>
              <w:rPr>
                <w:b/>
                <w:color w:val="FFFFFF" w:themeColor="background1"/>
              </w:rPr>
              <w:t>(%)</w:t>
            </w:r>
          </w:p>
        </w:tc>
        <w:tc>
          <w:tcPr>
            <w:tcW w:w="699" w:type="pct"/>
            <w:shd w:val="clear" w:color="auto" w:fill="300050" w:themeFill="text2"/>
            <w:vAlign w:val="center"/>
          </w:tcPr>
          <w:p w14:paraId="46A73F09" w14:textId="77777777" w:rsidR="00F3435D" w:rsidRDefault="00F3435D" w:rsidP="00286ECB">
            <w:pPr>
              <w:spacing w:before="0" w:after="120" w:line="240" w:lineRule="auto"/>
              <w:jc w:val="center"/>
              <w:rPr>
                <w:b/>
                <w:color w:val="FFFFFF" w:themeColor="background1"/>
              </w:rPr>
            </w:pPr>
            <w:r>
              <w:rPr>
                <w:b/>
                <w:color w:val="FFFFFF" w:themeColor="background1"/>
              </w:rPr>
              <w:t xml:space="preserve">Share of business trips </w:t>
            </w:r>
          </w:p>
          <w:p w14:paraId="68D041C3" w14:textId="7B27F321" w:rsidR="00F3435D" w:rsidRPr="003A58AB" w:rsidRDefault="00F3435D" w:rsidP="00286ECB">
            <w:pPr>
              <w:spacing w:before="0" w:after="120" w:line="240" w:lineRule="auto"/>
              <w:jc w:val="center"/>
              <w:rPr>
                <w:b/>
                <w:color w:val="FFFFFF" w:themeColor="background1"/>
              </w:rPr>
            </w:pPr>
            <w:r>
              <w:rPr>
                <w:b/>
                <w:color w:val="FFFFFF" w:themeColor="background1"/>
              </w:rPr>
              <w:t>(%)</w:t>
            </w:r>
          </w:p>
        </w:tc>
        <w:tc>
          <w:tcPr>
            <w:tcW w:w="841" w:type="pct"/>
            <w:shd w:val="clear" w:color="auto" w:fill="300050" w:themeFill="text2"/>
            <w:vAlign w:val="center"/>
          </w:tcPr>
          <w:p w14:paraId="4706BF9F" w14:textId="286E82A4" w:rsidR="00F3435D" w:rsidRDefault="00F3435D" w:rsidP="00070E81">
            <w:pPr>
              <w:spacing w:before="0" w:after="120" w:line="240" w:lineRule="auto"/>
              <w:jc w:val="center"/>
              <w:rPr>
                <w:b/>
                <w:color w:val="FFFFFF" w:themeColor="background1"/>
              </w:rPr>
            </w:pPr>
            <w:r>
              <w:rPr>
                <w:b/>
                <w:color w:val="FFFFFF" w:themeColor="background1"/>
              </w:rPr>
              <w:t>Number of business trips</w:t>
            </w:r>
          </w:p>
          <w:p w14:paraId="30CA6A74" w14:textId="21FD7E2B" w:rsidR="00F3435D" w:rsidRDefault="00F3435D" w:rsidP="00070E81">
            <w:pPr>
              <w:spacing w:before="0" w:after="120" w:line="240" w:lineRule="auto"/>
              <w:jc w:val="center"/>
              <w:rPr>
                <w:b/>
                <w:color w:val="FFFFFF" w:themeColor="background1"/>
              </w:rPr>
            </w:pPr>
            <w:r>
              <w:rPr>
                <w:b/>
                <w:color w:val="FFFFFF" w:themeColor="background1"/>
              </w:rPr>
              <w:t>(</w:t>
            </w:r>
            <w:r w:rsidR="00070E81">
              <w:rPr>
                <w:b/>
                <w:color w:val="FFFFFF" w:themeColor="background1"/>
              </w:rPr>
              <w:t>million</w:t>
            </w:r>
            <w:r>
              <w:rPr>
                <w:b/>
                <w:color w:val="FFFFFF" w:themeColor="background1"/>
              </w:rPr>
              <w:t>)</w:t>
            </w:r>
          </w:p>
        </w:tc>
        <w:tc>
          <w:tcPr>
            <w:tcW w:w="841" w:type="pct"/>
            <w:shd w:val="clear" w:color="auto" w:fill="300050" w:themeFill="text2"/>
            <w:vAlign w:val="center"/>
          </w:tcPr>
          <w:p w14:paraId="1877BA65" w14:textId="1A94ABB8" w:rsidR="00F3435D" w:rsidRDefault="00F3435D" w:rsidP="00286ECB">
            <w:pPr>
              <w:spacing w:before="0" w:after="120" w:line="240" w:lineRule="auto"/>
              <w:jc w:val="center"/>
              <w:rPr>
                <w:b/>
                <w:color w:val="FFFFFF" w:themeColor="background1"/>
              </w:rPr>
            </w:pPr>
            <w:r>
              <w:rPr>
                <w:b/>
                <w:color w:val="FFFFFF" w:themeColor="background1"/>
              </w:rPr>
              <w:t xml:space="preserve">Change in number of business trips </w:t>
            </w:r>
            <w:r w:rsidR="00070E81">
              <w:rPr>
                <w:b/>
                <w:color w:val="FFFFFF" w:themeColor="background1"/>
              </w:rPr>
              <w:t>since 2023</w:t>
            </w:r>
          </w:p>
          <w:p w14:paraId="44368564" w14:textId="497BD62F" w:rsidR="00F3435D" w:rsidRPr="003A58AB" w:rsidRDefault="00F3435D" w:rsidP="00286ECB">
            <w:pPr>
              <w:spacing w:before="0" w:after="120" w:line="240" w:lineRule="auto"/>
              <w:jc w:val="center"/>
              <w:rPr>
                <w:b/>
                <w:color w:val="FFFFFF" w:themeColor="background1"/>
              </w:rPr>
            </w:pPr>
            <w:r>
              <w:rPr>
                <w:b/>
                <w:color w:val="FFFFFF" w:themeColor="background1"/>
              </w:rPr>
              <w:t>(%)</w:t>
            </w:r>
          </w:p>
        </w:tc>
        <w:tc>
          <w:tcPr>
            <w:tcW w:w="840" w:type="pct"/>
            <w:shd w:val="clear" w:color="auto" w:fill="300050" w:themeFill="text2"/>
            <w:vAlign w:val="center"/>
          </w:tcPr>
          <w:p w14:paraId="47809709" w14:textId="1C3490D9" w:rsidR="00F3435D" w:rsidRDefault="00F3435D" w:rsidP="00286ECB">
            <w:pPr>
              <w:spacing w:before="0" w:after="120" w:line="240" w:lineRule="auto"/>
              <w:jc w:val="center"/>
              <w:rPr>
                <w:b/>
                <w:color w:val="FFFFFF" w:themeColor="background1"/>
              </w:rPr>
            </w:pPr>
            <w:r>
              <w:rPr>
                <w:b/>
                <w:color w:val="FFFFFF" w:themeColor="background1"/>
              </w:rPr>
              <w:t xml:space="preserve">Change in spend on business trips </w:t>
            </w:r>
            <w:r w:rsidR="00070E81">
              <w:rPr>
                <w:b/>
                <w:color w:val="FFFFFF" w:themeColor="background1"/>
              </w:rPr>
              <w:t>since 2023</w:t>
            </w:r>
          </w:p>
          <w:p w14:paraId="327D367D" w14:textId="2B2F0D36" w:rsidR="00F3435D" w:rsidRDefault="00F3435D" w:rsidP="00286ECB">
            <w:pPr>
              <w:spacing w:before="0" w:after="120" w:line="240" w:lineRule="auto"/>
              <w:jc w:val="center"/>
              <w:rPr>
                <w:b/>
                <w:color w:val="FFFFFF" w:themeColor="background1"/>
              </w:rPr>
            </w:pPr>
            <w:r>
              <w:rPr>
                <w:b/>
                <w:color w:val="FFFFFF" w:themeColor="background1"/>
              </w:rPr>
              <w:t>(%)</w:t>
            </w:r>
          </w:p>
        </w:tc>
      </w:tr>
      <w:tr w:rsidR="00F3435D" w:rsidRPr="003A58AB" w14:paraId="4251F261" w14:textId="77260576" w:rsidTr="00D16B00">
        <w:trPr>
          <w:trHeight w:hRule="exact" w:val="516"/>
        </w:trPr>
        <w:tc>
          <w:tcPr>
            <w:tcW w:w="951" w:type="pct"/>
            <w:vAlign w:val="center"/>
          </w:tcPr>
          <w:p w14:paraId="710630F5" w14:textId="76D9C181" w:rsidR="00F3435D" w:rsidRPr="003A58AB" w:rsidRDefault="00F3435D" w:rsidP="00286ECB">
            <w:pPr>
              <w:spacing w:before="0" w:after="0" w:line="240" w:lineRule="auto"/>
            </w:pPr>
            <w:r>
              <w:t>New South Wales</w:t>
            </w:r>
          </w:p>
        </w:tc>
        <w:tc>
          <w:tcPr>
            <w:tcW w:w="827" w:type="pct"/>
            <w:vAlign w:val="center"/>
          </w:tcPr>
          <w:p w14:paraId="15912530" w14:textId="3E4B6342" w:rsidR="00F3435D" w:rsidRPr="003A58AB" w:rsidRDefault="00F3435D" w:rsidP="00286ECB">
            <w:pPr>
              <w:spacing w:before="0" w:after="0" w:line="240" w:lineRule="auto"/>
              <w:jc w:val="center"/>
            </w:pPr>
            <w:r>
              <w:t>33</w:t>
            </w:r>
          </w:p>
        </w:tc>
        <w:tc>
          <w:tcPr>
            <w:tcW w:w="699" w:type="pct"/>
            <w:vAlign w:val="center"/>
          </w:tcPr>
          <w:p w14:paraId="7C4C516A" w14:textId="7FCC8991" w:rsidR="00F3435D" w:rsidRPr="003A58AB" w:rsidRDefault="00F3435D" w:rsidP="00286ECB">
            <w:pPr>
              <w:spacing w:before="0" w:after="0" w:line="240" w:lineRule="auto"/>
              <w:jc w:val="center"/>
            </w:pPr>
            <w:r>
              <w:t>29</w:t>
            </w:r>
          </w:p>
        </w:tc>
        <w:tc>
          <w:tcPr>
            <w:tcW w:w="841" w:type="pct"/>
            <w:vAlign w:val="center"/>
          </w:tcPr>
          <w:p w14:paraId="058F8E5F" w14:textId="2CC40073" w:rsidR="00F3435D" w:rsidRDefault="007E11BB" w:rsidP="00D16B00">
            <w:pPr>
              <w:spacing w:before="0" w:after="0" w:line="240" w:lineRule="auto"/>
              <w:jc w:val="center"/>
            </w:pPr>
            <w:r>
              <w:t>7.4</w:t>
            </w:r>
          </w:p>
        </w:tc>
        <w:tc>
          <w:tcPr>
            <w:tcW w:w="841" w:type="pct"/>
            <w:vAlign w:val="center"/>
          </w:tcPr>
          <w:p w14:paraId="16DC4B71" w14:textId="1B39F4EB" w:rsidR="00F3435D" w:rsidRPr="003A58AB" w:rsidRDefault="006E4120" w:rsidP="00286ECB">
            <w:pPr>
              <w:spacing w:before="0" w:after="0" w:line="240" w:lineRule="auto"/>
              <w:jc w:val="center"/>
            </w:pPr>
            <w:r>
              <w:t>7</w:t>
            </w:r>
          </w:p>
        </w:tc>
        <w:tc>
          <w:tcPr>
            <w:tcW w:w="840" w:type="pct"/>
            <w:vAlign w:val="center"/>
          </w:tcPr>
          <w:p w14:paraId="48C9321E" w14:textId="0761F311" w:rsidR="00F3435D" w:rsidRDefault="006E4120" w:rsidP="00286ECB">
            <w:pPr>
              <w:spacing w:before="0" w:after="0" w:line="240" w:lineRule="auto"/>
              <w:jc w:val="center"/>
            </w:pPr>
            <w:r>
              <w:t>5</w:t>
            </w:r>
          </w:p>
        </w:tc>
      </w:tr>
      <w:tr w:rsidR="00F3435D" w:rsidRPr="003A58AB" w14:paraId="5B77DE41" w14:textId="004F4981" w:rsidTr="00D16B00">
        <w:trPr>
          <w:trHeight w:hRule="exact" w:val="340"/>
        </w:trPr>
        <w:tc>
          <w:tcPr>
            <w:tcW w:w="951" w:type="pct"/>
            <w:vAlign w:val="center"/>
          </w:tcPr>
          <w:p w14:paraId="5CCC48A8" w14:textId="791EFCEB" w:rsidR="00F3435D" w:rsidRPr="003A58AB" w:rsidRDefault="00F3435D" w:rsidP="00286ECB">
            <w:pPr>
              <w:spacing w:before="0" w:after="0" w:line="240" w:lineRule="auto"/>
            </w:pPr>
            <w:r>
              <w:t>Victoria</w:t>
            </w:r>
          </w:p>
        </w:tc>
        <w:tc>
          <w:tcPr>
            <w:tcW w:w="827" w:type="pct"/>
            <w:vAlign w:val="center"/>
          </w:tcPr>
          <w:p w14:paraId="240C3192" w14:textId="72D72D50" w:rsidR="00F3435D" w:rsidRPr="003A58AB" w:rsidRDefault="00F3435D" w:rsidP="00286ECB">
            <w:pPr>
              <w:spacing w:before="0" w:after="0" w:line="240" w:lineRule="auto"/>
              <w:jc w:val="center"/>
            </w:pPr>
            <w:r>
              <w:t>25</w:t>
            </w:r>
          </w:p>
        </w:tc>
        <w:tc>
          <w:tcPr>
            <w:tcW w:w="699" w:type="pct"/>
            <w:vAlign w:val="center"/>
          </w:tcPr>
          <w:p w14:paraId="02D66E08" w14:textId="2C0844CD" w:rsidR="00F3435D" w:rsidRPr="003A58AB" w:rsidRDefault="00F3435D" w:rsidP="00286ECB">
            <w:pPr>
              <w:spacing w:before="0" w:after="0" w:line="240" w:lineRule="auto"/>
              <w:jc w:val="center"/>
            </w:pPr>
            <w:r>
              <w:t>20</w:t>
            </w:r>
          </w:p>
        </w:tc>
        <w:tc>
          <w:tcPr>
            <w:tcW w:w="841" w:type="pct"/>
            <w:vAlign w:val="center"/>
          </w:tcPr>
          <w:p w14:paraId="74A82DE3" w14:textId="3314CDD2" w:rsidR="00F3435D" w:rsidRDefault="007E11BB" w:rsidP="00D16B00">
            <w:pPr>
              <w:spacing w:before="0" w:after="0" w:line="240" w:lineRule="auto"/>
              <w:jc w:val="center"/>
            </w:pPr>
            <w:r>
              <w:t>4.9</w:t>
            </w:r>
          </w:p>
        </w:tc>
        <w:tc>
          <w:tcPr>
            <w:tcW w:w="841" w:type="pct"/>
            <w:vAlign w:val="center"/>
          </w:tcPr>
          <w:p w14:paraId="7747E106" w14:textId="502F12E6" w:rsidR="00F3435D" w:rsidRPr="003A58AB" w:rsidRDefault="00F3435D" w:rsidP="00286ECB">
            <w:pPr>
              <w:spacing w:before="0" w:after="0" w:line="240" w:lineRule="auto"/>
              <w:jc w:val="center"/>
            </w:pPr>
            <w:r>
              <w:t>9</w:t>
            </w:r>
          </w:p>
        </w:tc>
        <w:tc>
          <w:tcPr>
            <w:tcW w:w="840" w:type="pct"/>
            <w:vAlign w:val="center"/>
          </w:tcPr>
          <w:p w14:paraId="4BF4B559" w14:textId="62DBCEAC" w:rsidR="00F3435D" w:rsidRDefault="00F3435D" w:rsidP="00286ECB">
            <w:pPr>
              <w:spacing w:before="0" w:after="0" w:line="240" w:lineRule="auto"/>
              <w:jc w:val="center"/>
            </w:pPr>
            <w:r>
              <w:t>1.6</w:t>
            </w:r>
          </w:p>
        </w:tc>
      </w:tr>
      <w:tr w:rsidR="00F3435D" w:rsidRPr="003A58AB" w14:paraId="35B49D04" w14:textId="0A348C00" w:rsidTr="00D16B00">
        <w:trPr>
          <w:trHeight w:hRule="exact" w:val="340"/>
        </w:trPr>
        <w:tc>
          <w:tcPr>
            <w:tcW w:w="951" w:type="pct"/>
            <w:vAlign w:val="center"/>
          </w:tcPr>
          <w:p w14:paraId="209637E9" w14:textId="06B9E37C" w:rsidR="00F3435D" w:rsidRPr="003A58AB" w:rsidRDefault="00F3435D" w:rsidP="00286ECB">
            <w:pPr>
              <w:spacing w:before="0" w:after="0" w:line="240" w:lineRule="auto"/>
            </w:pPr>
            <w:r>
              <w:t>Queensland</w:t>
            </w:r>
          </w:p>
        </w:tc>
        <w:tc>
          <w:tcPr>
            <w:tcW w:w="827" w:type="pct"/>
            <w:vAlign w:val="center"/>
          </w:tcPr>
          <w:p w14:paraId="3DEBA662" w14:textId="345F5538" w:rsidR="00F3435D" w:rsidRPr="003A58AB" w:rsidRDefault="00F3435D" w:rsidP="00286ECB">
            <w:pPr>
              <w:spacing w:before="0" w:after="0" w:line="240" w:lineRule="auto"/>
              <w:jc w:val="center"/>
            </w:pPr>
            <w:r>
              <w:t>23</w:t>
            </w:r>
          </w:p>
        </w:tc>
        <w:tc>
          <w:tcPr>
            <w:tcW w:w="699" w:type="pct"/>
            <w:vAlign w:val="center"/>
          </w:tcPr>
          <w:p w14:paraId="145AD50C" w14:textId="56A406C4" w:rsidR="00F3435D" w:rsidRPr="003A58AB" w:rsidRDefault="00F3435D" w:rsidP="00286ECB">
            <w:pPr>
              <w:spacing w:before="0" w:after="0" w:line="240" w:lineRule="auto"/>
              <w:jc w:val="center"/>
            </w:pPr>
            <w:r>
              <w:t>25</w:t>
            </w:r>
          </w:p>
        </w:tc>
        <w:tc>
          <w:tcPr>
            <w:tcW w:w="841" w:type="pct"/>
            <w:vAlign w:val="center"/>
          </w:tcPr>
          <w:p w14:paraId="645BA8D1" w14:textId="35AC42B5" w:rsidR="00F3435D" w:rsidRDefault="007E11BB" w:rsidP="00D16B00">
            <w:pPr>
              <w:spacing w:before="0" w:after="0" w:line="240" w:lineRule="auto"/>
              <w:jc w:val="center"/>
            </w:pPr>
            <w:r>
              <w:t>6.2</w:t>
            </w:r>
          </w:p>
        </w:tc>
        <w:tc>
          <w:tcPr>
            <w:tcW w:w="841" w:type="pct"/>
            <w:vAlign w:val="center"/>
          </w:tcPr>
          <w:p w14:paraId="7BABDFDC" w14:textId="13955E9F" w:rsidR="00F3435D" w:rsidRPr="003A58AB" w:rsidRDefault="00F3435D" w:rsidP="00286ECB">
            <w:pPr>
              <w:spacing w:before="0" w:after="0" w:line="240" w:lineRule="auto"/>
              <w:jc w:val="center"/>
            </w:pPr>
            <w:r>
              <w:t>12</w:t>
            </w:r>
          </w:p>
        </w:tc>
        <w:tc>
          <w:tcPr>
            <w:tcW w:w="840" w:type="pct"/>
            <w:vAlign w:val="center"/>
          </w:tcPr>
          <w:p w14:paraId="50CCAB65" w14:textId="4E971CC7" w:rsidR="00F3435D" w:rsidRDefault="00F3435D" w:rsidP="00286ECB">
            <w:pPr>
              <w:spacing w:before="0" w:after="0" w:line="240" w:lineRule="auto"/>
              <w:jc w:val="center"/>
            </w:pPr>
            <w:r>
              <w:t>12</w:t>
            </w:r>
          </w:p>
        </w:tc>
      </w:tr>
      <w:tr w:rsidR="00F3435D" w:rsidRPr="003A58AB" w14:paraId="5DA0B411" w14:textId="17642C65" w:rsidTr="00D16B00">
        <w:trPr>
          <w:trHeight w:hRule="exact" w:val="340"/>
        </w:trPr>
        <w:tc>
          <w:tcPr>
            <w:tcW w:w="951" w:type="pct"/>
            <w:vAlign w:val="center"/>
          </w:tcPr>
          <w:p w14:paraId="6CF87180" w14:textId="3C9A8250" w:rsidR="00F3435D" w:rsidRPr="003A58AB" w:rsidRDefault="00F3435D" w:rsidP="00286ECB">
            <w:pPr>
              <w:spacing w:before="0" w:after="0" w:line="240" w:lineRule="auto"/>
            </w:pPr>
            <w:r>
              <w:t>South Australia</w:t>
            </w:r>
          </w:p>
        </w:tc>
        <w:tc>
          <w:tcPr>
            <w:tcW w:w="827" w:type="pct"/>
            <w:vAlign w:val="center"/>
          </w:tcPr>
          <w:p w14:paraId="12272D8B" w14:textId="048EA044" w:rsidR="00F3435D" w:rsidRPr="003A58AB" w:rsidRDefault="00F3435D" w:rsidP="00286ECB">
            <w:pPr>
              <w:spacing w:before="0" w:after="0" w:line="240" w:lineRule="auto"/>
              <w:jc w:val="center"/>
            </w:pPr>
            <w:r>
              <w:t>7</w:t>
            </w:r>
          </w:p>
        </w:tc>
        <w:tc>
          <w:tcPr>
            <w:tcW w:w="699" w:type="pct"/>
            <w:vAlign w:val="center"/>
          </w:tcPr>
          <w:p w14:paraId="040AF2A9" w14:textId="567F4943" w:rsidR="00F3435D" w:rsidRPr="003A58AB" w:rsidRDefault="00F3435D" w:rsidP="00286ECB">
            <w:pPr>
              <w:spacing w:before="0" w:after="0" w:line="240" w:lineRule="auto"/>
              <w:jc w:val="center"/>
            </w:pPr>
            <w:r>
              <w:t>7</w:t>
            </w:r>
          </w:p>
        </w:tc>
        <w:tc>
          <w:tcPr>
            <w:tcW w:w="841" w:type="pct"/>
            <w:vAlign w:val="center"/>
          </w:tcPr>
          <w:p w14:paraId="68EEA5BA" w14:textId="1FA4BB86" w:rsidR="00F3435D" w:rsidRDefault="007E11BB" w:rsidP="00D16B00">
            <w:pPr>
              <w:spacing w:before="0" w:after="0" w:line="240" w:lineRule="auto"/>
              <w:jc w:val="center"/>
            </w:pPr>
            <w:r>
              <w:t>1.7</w:t>
            </w:r>
          </w:p>
        </w:tc>
        <w:tc>
          <w:tcPr>
            <w:tcW w:w="841" w:type="pct"/>
            <w:vAlign w:val="center"/>
          </w:tcPr>
          <w:p w14:paraId="330BE39C" w14:textId="22F395FD" w:rsidR="00F3435D" w:rsidRPr="003A58AB" w:rsidRDefault="006E4120" w:rsidP="00286ECB">
            <w:pPr>
              <w:spacing w:before="0" w:after="0" w:line="240" w:lineRule="auto"/>
              <w:jc w:val="center"/>
            </w:pPr>
            <w:r>
              <w:t>6</w:t>
            </w:r>
          </w:p>
        </w:tc>
        <w:tc>
          <w:tcPr>
            <w:tcW w:w="840" w:type="pct"/>
            <w:vAlign w:val="center"/>
          </w:tcPr>
          <w:p w14:paraId="5291A33F" w14:textId="4A484A75" w:rsidR="00F3435D" w:rsidRDefault="00F3435D" w:rsidP="00286ECB">
            <w:pPr>
              <w:spacing w:before="0" w:after="0" w:line="240" w:lineRule="auto"/>
              <w:jc w:val="center"/>
            </w:pPr>
            <w:r>
              <w:t>10</w:t>
            </w:r>
          </w:p>
        </w:tc>
      </w:tr>
      <w:tr w:rsidR="00F3435D" w:rsidRPr="003A58AB" w14:paraId="7BB7F087" w14:textId="59EA3A20" w:rsidTr="00D16B00">
        <w:trPr>
          <w:trHeight w:hRule="exact" w:val="552"/>
        </w:trPr>
        <w:tc>
          <w:tcPr>
            <w:tcW w:w="951" w:type="pct"/>
            <w:vAlign w:val="center"/>
          </w:tcPr>
          <w:p w14:paraId="7928C571" w14:textId="7C1433F8" w:rsidR="00F3435D" w:rsidRPr="003A58AB" w:rsidRDefault="00F3435D" w:rsidP="00286ECB">
            <w:pPr>
              <w:spacing w:before="0" w:after="0" w:line="240" w:lineRule="auto"/>
            </w:pPr>
            <w:r>
              <w:t>Western Australia</w:t>
            </w:r>
          </w:p>
        </w:tc>
        <w:tc>
          <w:tcPr>
            <w:tcW w:w="827" w:type="pct"/>
            <w:vAlign w:val="center"/>
          </w:tcPr>
          <w:p w14:paraId="2C2B7504" w14:textId="1ABF4EB6" w:rsidR="00F3435D" w:rsidRPr="003A58AB" w:rsidRDefault="00F3435D" w:rsidP="00286ECB">
            <w:pPr>
              <w:spacing w:before="0" w:after="0" w:line="240" w:lineRule="auto"/>
              <w:jc w:val="center"/>
            </w:pPr>
            <w:r>
              <w:t>9</w:t>
            </w:r>
          </w:p>
        </w:tc>
        <w:tc>
          <w:tcPr>
            <w:tcW w:w="699" w:type="pct"/>
            <w:vAlign w:val="center"/>
          </w:tcPr>
          <w:p w14:paraId="1A34E2C3" w14:textId="34C3BC58" w:rsidR="00F3435D" w:rsidRPr="003A58AB" w:rsidRDefault="00F3435D" w:rsidP="00286ECB">
            <w:pPr>
              <w:spacing w:before="0" w:after="0" w:line="240" w:lineRule="auto"/>
              <w:jc w:val="center"/>
            </w:pPr>
            <w:r>
              <w:t>13</w:t>
            </w:r>
          </w:p>
        </w:tc>
        <w:tc>
          <w:tcPr>
            <w:tcW w:w="841" w:type="pct"/>
            <w:vAlign w:val="center"/>
          </w:tcPr>
          <w:p w14:paraId="0DEAAE52" w14:textId="47F46B61" w:rsidR="00F3435D" w:rsidRDefault="006A48D1" w:rsidP="00D16B00">
            <w:pPr>
              <w:spacing w:before="0" w:after="0" w:line="240" w:lineRule="auto"/>
              <w:jc w:val="center"/>
            </w:pPr>
            <w:r>
              <w:t>3.3</w:t>
            </w:r>
          </w:p>
        </w:tc>
        <w:tc>
          <w:tcPr>
            <w:tcW w:w="841" w:type="pct"/>
            <w:vAlign w:val="center"/>
          </w:tcPr>
          <w:p w14:paraId="79EC112D" w14:textId="73AE4F5F" w:rsidR="00F3435D" w:rsidRPr="003A58AB" w:rsidRDefault="00F3435D" w:rsidP="00286ECB">
            <w:pPr>
              <w:spacing w:before="0" w:after="0" w:line="240" w:lineRule="auto"/>
              <w:jc w:val="center"/>
            </w:pPr>
            <w:r>
              <w:t>-5</w:t>
            </w:r>
          </w:p>
        </w:tc>
        <w:tc>
          <w:tcPr>
            <w:tcW w:w="840" w:type="pct"/>
            <w:vAlign w:val="center"/>
          </w:tcPr>
          <w:p w14:paraId="74AF5375" w14:textId="5F922FF3" w:rsidR="00F3435D" w:rsidRDefault="00F3435D" w:rsidP="00286ECB">
            <w:pPr>
              <w:spacing w:before="0" w:after="0" w:line="240" w:lineRule="auto"/>
              <w:jc w:val="center"/>
            </w:pPr>
            <w:r>
              <w:t>-2.6</w:t>
            </w:r>
          </w:p>
        </w:tc>
      </w:tr>
      <w:tr w:rsidR="00F3435D" w:rsidRPr="003A58AB" w14:paraId="48FDD2B6" w14:textId="71663727" w:rsidTr="00D16B00">
        <w:trPr>
          <w:trHeight w:hRule="exact" w:val="340"/>
        </w:trPr>
        <w:tc>
          <w:tcPr>
            <w:tcW w:w="951" w:type="pct"/>
            <w:vAlign w:val="center"/>
          </w:tcPr>
          <w:p w14:paraId="2FF8324E" w14:textId="28104F79" w:rsidR="00F3435D" w:rsidRDefault="00F3435D" w:rsidP="00286ECB">
            <w:pPr>
              <w:spacing w:before="0" w:after="0" w:line="240" w:lineRule="auto"/>
            </w:pPr>
            <w:r>
              <w:t>Tasmania</w:t>
            </w:r>
          </w:p>
        </w:tc>
        <w:tc>
          <w:tcPr>
            <w:tcW w:w="827" w:type="pct"/>
            <w:vAlign w:val="center"/>
          </w:tcPr>
          <w:p w14:paraId="5FAEA124" w14:textId="383B4F98" w:rsidR="00F3435D" w:rsidRDefault="00F3435D" w:rsidP="00286ECB">
            <w:pPr>
              <w:spacing w:before="0" w:after="0" w:line="240" w:lineRule="auto"/>
              <w:jc w:val="center"/>
            </w:pPr>
            <w:r>
              <w:t>3</w:t>
            </w:r>
          </w:p>
        </w:tc>
        <w:tc>
          <w:tcPr>
            <w:tcW w:w="699" w:type="pct"/>
            <w:vAlign w:val="center"/>
          </w:tcPr>
          <w:p w14:paraId="4968D4DE" w14:textId="541D5DE6" w:rsidR="00F3435D" w:rsidRDefault="00F3435D" w:rsidP="00286ECB">
            <w:pPr>
              <w:spacing w:before="0" w:after="0" w:line="240" w:lineRule="auto"/>
              <w:jc w:val="center"/>
            </w:pPr>
            <w:r>
              <w:t>2</w:t>
            </w:r>
          </w:p>
        </w:tc>
        <w:tc>
          <w:tcPr>
            <w:tcW w:w="841" w:type="pct"/>
            <w:vAlign w:val="center"/>
          </w:tcPr>
          <w:p w14:paraId="41992AC0" w14:textId="6C3C3175" w:rsidR="00F3435D" w:rsidRDefault="006A48D1" w:rsidP="00D16B00">
            <w:pPr>
              <w:spacing w:before="0" w:after="0" w:line="240" w:lineRule="auto"/>
              <w:jc w:val="center"/>
            </w:pPr>
            <w:r>
              <w:t>0.6</w:t>
            </w:r>
          </w:p>
        </w:tc>
        <w:tc>
          <w:tcPr>
            <w:tcW w:w="841" w:type="pct"/>
            <w:vAlign w:val="center"/>
          </w:tcPr>
          <w:p w14:paraId="55BB2CFA" w14:textId="29DA952A" w:rsidR="00F3435D" w:rsidRDefault="00F3435D" w:rsidP="00286ECB">
            <w:pPr>
              <w:spacing w:before="0" w:after="0" w:line="240" w:lineRule="auto"/>
              <w:jc w:val="center"/>
            </w:pPr>
            <w:r>
              <w:t>19</w:t>
            </w:r>
          </w:p>
        </w:tc>
        <w:tc>
          <w:tcPr>
            <w:tcW w:w="840" w:type="pct"/>
            <w:vAlign w:val="center"/>
          </w:tcPr>
          <w:p w14:paraId="2AA7A7B7" w14:textId="47BF3BC9" w:rsidR="00F3435D" w:rsidRDefault="00F3435D" w:rsidP="00286ECB">
            <w:pPr>
              <w:spacing w:before="0" w:after="0" w:line="240" w:lineRule="auto"/>
              <w:jc w:val="center"/>
            </w:pPr>
            <w:r>
              <w:t>-0.1</w:t>
            </w:r>
          </w:p>
        </w:tc>
      </w:tr>
      <w:tr w:rsidR="00F3435D" w:rsidRPr="003A58AB" w14:paraId="2977804F" w14:textId="6E703F65" w:rsidTr="00D16B00">
        <w:trPr>
          <w:trHeight w:hRule="exact" w:val="637"/>
        </w:trPr>
        <w:tc>
          <w:tcPr>
            <w:tcW w:w="951" w:type="pct"/>
            <w:vAlign w:val="center"/>
          </w:tcPr>
          <w:p w14:paraId="033F7B8B" w14:textId="0BA3E29E" w:rsidR="00F3435D" w:rsidRDefault="00F3435D" w:rsidP="00286ECB">
            <w:pPr>
              <w:spacing w:before="0" w:after="0" w:line="240" w:lineRule="auto"/>
            </w:pPr>
            <w:r>
              <w:t>Northern Territory</w:t>
            </w:r>
          </w:p>
        </w:tc>
        <w:tc>
          <w:tcPr>
            <w:tcW w:w="827" w:type="pct"/>
            <w:vAlign w:val="center"/>
          </w:tcPr>
          <w:p w14:paraId="35733D0B" w14:textId="63C19165" w:rsidR="00F3435D" w:rsidRDefault="00F3435D" w:rsidP="00286ECB">
            <w:pPr>
              <w:spacing w:before="0" w:after="0" w:line="240" w:lineRule="auto"/>
              <w:jc w:val="center"/>
            </w:pPr>
            <w:r>
              <w:t>1</w:t>
            </w:r>
          </w:p>
        </w:tc>
        <w:tc>
          <w:tcPr>
            <w:tcW w:w="699" w:type="pct"/>
            <w:vAlign w:val="center"/>
          </w:tcPr>
          <w:p w14:paraId="20F995A8" w14:textId="0670AFEF" w:rsidR="00F3435D" w:rsidRDefault="00F3435D" w:rsidP="00286ECB">
            <w:pPr>
              <w:spacing w:before="0" w:after="0" w:line="240" w:lineRule="auto"/>
              <w:jc w:val="center"/>
            </w:pPr>
            <w:r>
              <w:t>2</w:t>
            </w:r>
          </w:p>
        </w:tc>
        <w:tc>
          <w:tcPr>
            <w:tcW w:w="841" w:type="pct"/>
            <w:vAlign w:val="center"/>
          </w:tcPr>
          <w:p w14:paraId="0DF7866E" w14:textId="2E96C643" w:rsidR="00F3435D" w:rsidRDefault="006A48D1" w:rsidP="00D16B00">
            <w:pPr>
              <w:spacing w:before="0" w:after="0" w:line="240" w:lineRule="auto"/>
              <w:jc w:val="center"/>
            </w:pPr>
            <w:r>
              <w:t>0.6</w:t>
            </w:r>
          </w:p>
        </w:tc>
        <w:tc>
          <w:tcPr>
            <w:tcW w:w="841" w:type="pct"/>
            <w:vAlign w:val="center"/>
          </w:tcPr>
          <w:p w14:paraId="21EF2387" w14:textId="1BBBC815" w:rsidR="00F3435D" w:rsidRDefault="00F3435D" w:rsidP="00286ECB">
            <w:pPr>
              <w:spacing w:before="0" w:after="0" w:line="240" w:lineRule="auto"/>
              <w:jc w:val="center"/>
            </w:pPr>
            <w:r>
              <w:t>29</w:t>
            </w:r>
          </w:p>
        </w:tc>
        <w:tc>
          <w:tcPr>
            <w:tcW w:w="840" w:type="pct"/>
            <w:vAlign w:val="center"/>
          </w:tcPr>
          <w:p w14:paraId="57B7CC1E" w14:textId="1EDF493E" w:rsidR="00F3435D" w:rsidRDefault="00F3435D" w:rsidP="00286ECB">
            <w:pPr>
              <w:spacing w:before="0" w:after="0" w:line="240" w:lineRule="auto"/>
              <w:jc w:val="center"/>
            </w:pPr>
            <w:r>
              <w:t>8</w:t>
            </w:r>
          </w:p>
        </w:tc>
      </w:tr>
      <w:tr w:rsidR="00F3435D" w:rsidRPr="003A58AB" w14:paraId="5409549F" w14:textId="18E495D7" w:rsidTr="00D16B00">
        <w:trPr>
          <w:trHeight w:hRule="exact" w:val="518"/>
        </w:trPr>
        <w:tc>
          <w:tcPr>
            <w:tcW w:w="951" w:type="pct"/>
            <w:vAlign w:val="center"/>
          </w:tcPr>
          <w:p w14:paraId="3A7B70A3" w14:textId="319D628B" w:rsidR="00F3435D" w:rsidRDefault="00F3435D" w:rsidP="00286ECB">
            <w:pPr>
              <w:spacing w:before="0" w:after="0" w:line="240" w:lineRule="auto"/>
            </w:pPr>
            <w:r>
              <w:t>Australian Capital Territory</w:t>
            </w:r>
          </w:p>
        </w:tc>
        <w:tc>
          <w:tcPr>
            <w:tcW w:w="827" w:type="pct"/>
            <w:vAlign w:val="center"/>
          </w:tcPr>
          <w:p w14:paraId="2C9CDE2E" w14:textId="13F3AE41" w:rsidR="00F3435D" w:rsidRDefault="00F3435D" w:rsidP="00286ECB">
            <w:pPr>
              <w:spacing w:before="0" w:after="0" w:line="240" w:lineRule="auto"/>
              <w:jc w:val="center"/>
            </w:pPr>
            <w:r>
              <w:t>3</w:t>
            </w:r>
          </w:p>
        </w:tc>
        <w:tc>
          <w:tcPr>
            <w:tcW w:w="699" w:type="pct"/>
            <w:vAlign w:val="center"/>
          </w:tcPr>
          <w:p w14:paraId="190450B2" w14:textId="2C1A1FC5" w:rsidR="00F3435D" w:rsidRDefault="00F3435D" w:rsidP="00286ECB">
            <w:pPr>
              <w:spacing w:before="0" w:after="0" w:line="240" w:lineRule="auto"/>
              <w:jc w:val="center"/>
            </w:pPr>
            <w:r>
              <w:t>4</w:t>
            </w:r>
          </w:p>
        </w:tc>
        <w:tc>
          <w:tcPr>
            <w:tcW w:w="841" w:type="pct"/>
            <w:vAlign w:val="center"/>
          </w:tcPr>
          <w:p w14:paraId="2BD24E04" w14:textId="680296FC" w:rsidR="00F3435D" w:rsidRDefault="006A48D1" w:rsidP="00D16B00">
            <w:pPr>
              <w:spacing w:before="0" w:after="0" w:line="240" w:lineRule="auto"/>
              <w:jc w:val="center"/>
            </w:pPr>
            <w:r>
              <w:t>1.0</w:t>
            </w:r>
          </w:p>
        </w:tc>
        <w:tc>
          <w:tcPr>
            <w:tcW w:w="841" w:type="pct"/>
            <w:vAlign w:val="center"/>
          </w:tcPr>
          <w:p w14:paraId="5598892A" w14:textId="104B1787" w:rsidR="00F3435D" w:rsidRDefault="00F3435D" w:rsidP="00286ECB">
            <w:pPr>
              <w:spacing w:before="0" w:after="0" w:line="240" w:lineRule="auto"/>
              <w:jc w:val="center"/>
            </w:pPr>
            <w:r>
              <w:t>1.5</w:t>
            </w:r>
          </w:p>
        </w:tc>
        <w:tc>
          <w:tcPr>
            <w:tcW w:w="840" w:type="pct"/>
            <w:vAlign w:val="center"/>
          </w:tcPr>
          <w:p w14:paraId="448F7F91" w14:textId="47A7D27C" w:rsidR="00F3435D" w:rsidRDefault="00F3435D" w:rsidP="00286ECB">
            <w:pPr>
              <w:spacing w:before="0" w:after="0" w:line="240" w:lineRule="auto"/>
              <w:jc w:val="center"/>
            </w:pPr>
            <w:r>
              <w:t>-</w:t>
            </w:r>
            <w:r w:rsidR="006E4120">
              <w:t>4</w:t>
            </w:r>
          </w:p>
        </w:tc>
      </w:tr>
      <w:tr w:rsidR="00F3435D" w:rsidRPr="001072F1" w14:paraId="261DBCD7" w14:textId="1B4D1A7F" w:rsidTr="00D16B00">
        <w:trPr>
          <w:trHeight w:hRule="exact" w:val="329"/>
        </w:trPr>
        <w:tc>
          <w:tcPr>
            <w:tcW w:w="951" w:type="pct"/>
            <w:vAlign w:val="center"/>
          </w:tcPr>
          <w:p w14:paraId="5A935417" w14:textId="2F72BCCC" w:rsidR="00F3435D" w:rsidRPr="00DA457B" w:rsidRDefault="00F3435D" w:rsidP="00286ECB">
            <w:pPr>
              <w:spacing w:before="0" w:after="0" w:line="240" w:lineRule="auto"/>
            </w:pPr>
            <w:r w:rsidRPr="00DA457B">
              <w:t>Total</w:t>
            </w:r>
          </w:p>
        </w:tc>
        <w:tc>
          <w:tcPr>
            <w:tcW w:w="827" w:type="pct"/>
            <w:vAlign w:val="center"/>
          </w:tcPr>
          <w:p w14:paraId="610DE9AB" w14:textId="5FC1A6F0" w:rsidR="00F3435D" w:rsidRPr="00DA457B" w:rsidRDefault="00F3435D" w:rsidP="00286ECB">
            <w:pPr>
              <w:spacing w:before="0" w:after="0" w:line="240" w:lineRule="auto"/>
              <w:jc w:val="center"/>
            </w:pPr>
            <w:r w:rsidRPr="00DA457B">
              <w:t>100</w:t>
            </w:r>
            <w:r w:rsidR="004A6F88">
              <w:t>*</w:t>
            </w:r>
          </w:p>
        </w:tc>
        <w:tc>
          <w:tcPr>
            <w:tcW w:w="699" w:type="pct"/>
            <w:vAlign w:val="center"/>
          </w:tcPr>
          <w:p w14:paraId="6DCA33DD" w14:textId="232E344F" w:rsidR="00F3435D" w:rsidRPr="00DA457B" w:rsidRDefault="00F3435D" w:rsidP="00286ECB">
            <w:pPr>
              <w:spacing w:before="0" w:after="0" w:line="240" w:lineRule="auto"/>
              <w:jc w:val="center"/>
            </w:pPr>
            <w:r w:rsidRPr="00DA457B">
              <w:t>100</w:t>
            </w:r>
            <w:r w:rsidR="004A6F88">
              <w:t>*</w:t>
            </w:r>
          </w:p>
        </w:tc>
        <w:tc>
          <w:tcPr>
            <w:tcW w:w="841" w:type="pct"/>
            <w:vAlign w:val="center"/>
          </w:tcPr>
          <w:p w14:paraId="7B69516B" w14:textId="70BF2B3E" w:rsidR="00F3435D" w:rsidRPr="00DA457B" w:rsidRDefault="006A48D1" w:rsidP="00D16B00">
            <w:pPr>
              <w:spacing w:before="0" w:after="0" w:line="240" w:lineRule="auto"/>
              <w:jc w:val="center"/>
            </w:pPr>
            <w:r>
              <w:t>25.0</w:t>
            </w:r>
          </w:p>
        </w:tc>
        <w:tc>
          <w:tcPr>
            <w:tcW w:w="841" w:type="pct"/>
            <w:vAlign w:val="center"/>
          </w:tcPr>
          <w:p w14:paraId="013490F6" w14:textId="769EEF6D" w:rsidR="00F3435D" w:rsidRPr="00DA457B" w:rsidRDefault="00F3435D" w:rsidP="00286ECB">
            <w:pPr>
              <w:spacing w:before="0" w:after="0" w:line="240" w:lineRule="auto"/>
              <w:jc w:val="center"/>
            </w:pPr>
            <w:r w:rsidRPr="00DA457B">
              <w:t>6</w:t>
            </w:r>
            <w:r w:rsidR="006E4120">
              <w:t>.4</w:t>
            </w:r>
          </w:p>
        </w:tc>
        <w:tc>
          <w:tcPr>
            <w:tcW w:w="840" w:type="pct"/>
            <w:vAlign w:val="center"/>
          </w:tcPr>
          <w:p w14:paraId="0D15A039" w14:textId="6A832F37" w:rsidR="00F3435D" w:rsidRPr="00DA457B" w:rsidRDefault="00F3435D" w:rsidP="00286ECB">
            <w:pPr>
              <w:spacing w:before="0" w:after="0" w:line="240" w:lineRule="auto"/>
              <w:jc w:val="center"/>
            </w:pPr>
            <w:r w:rsidRPr="00DA457B">
              <w:t>3.0</w:t>
            </w:r>
          </w:p>
        </w:tc>
      </w:tr>
    </w:tbl>
    <w:p w14:paraId="4746CF4B" w14:textId="5CEE67A5" w:rsidR="00F07103" w:rsidRDefault="004A6F88" w:rsidP="00891279">
      <w:pPr>
        <w:spacing w:before="120" w:line="240" w:lineRule="auto"/>
        <w:rPr>
          <w:lang w:eastAsia="zh-CN"/>
        </w:rPr>
      </w:pPr>
      <w:r>
        <w:rPr>
          <w:lang w:eastAsia="zh-CN"/>
        </w:rPr>
        <w:t>*</w:t>
      </w:r>
      <w:r w:rsidR="00F07103" w:rsidRPr="00891279">
        <w:rPr>
          <w:sz w:val="16"/>
          <w:szCs w:val="16"/>
          <w:lang w:eastAsia="zh-CN"/>
        </w:rPr>
        <w:t xml:space="preserve">Sum </w:t>
      </w:r>
      <w:r w:rsidRPr="00891279">
        <w:rPr>
          <w:sz w:val="16"/>
          <w:szCs w:val="16"/>
          <w:lang w:eastAsia="zh-CN"/>
        </w:rPr>
        <w:t>of states/territories is more than 100% because trips that visit multiple states/territories are counted as a trip in each state/territory visited.</w:t>
      </w:r>
      <w:r w:rsidR="00F07103" w:rsidRPr="00891279">
        <w:rPr>
          <w:sz w:val="16"/>
          <w:szCs w:val="16"/>
          <w:lang w:eastAsia="zh-CN"/>
        </w:rPr>
        <w:t xml:space="preserve"> </w:t>
      </w:r>
    </w:p>
    <w:p w14:paraId="641CA7C5" w14:textId="31AFFB42" w:rsidR="00DD478D" w:rsidRDefault="005815A1" w:rsidP="009C2401">
      <w:pPr>
        <w:spacing w:line="300" w:lineRule="atLeast"/>
        <w:rPr>
          <w:lang w:eastAsia="zh-CN"/>
        </w:rPr>
      </w:pPr>
      <w:r>
        <w:rPr>
          <w:lang w:eastAsia="zh-CN"/>
        </w:rPr>
        <w:t>Western Australia</w:t>
      </w:r>
      <w:r w:rsidR="00362ED5">
        <w:rPr>
          <w:lang w:eastAsia="zh-CN"/>
        </w:rPr>
        <w:t xml:space="preserve"> (WA)</w:t>
      </w:r>
      <w:r>
        <w:rPr>
          <w:lang w:eastAsia="zh-CN"/>
        </w:rPr>
        <w:t xml:space="preserve"> was the only state to see fewer domestic business trips in 2024 compared with the previous year. The decline was driven entirely by intrastate business trips</w:t>
      </w:r>
      <w:r w:rsidR="00BF327A">
        <w:rPr>
          <w:lang w:eastAsia="zh-CN"/>
        </w:rPr>
        <w:t>, which fell</w:t>
      </w:r>
      <w:r w:rsidR="00084847">
        <w:rPr>
          <w:lang w:eastAsia="zh-CN"/>
        </w:rPr>
        <w:t xml:space="preserve"> by </w:t>
      </w:r>
      <w:r w:rsidR="00084847">
        <w:rPr>
          <w:lang w:eastAsia="zh-CN"/>
        </w:rPr>
        <w:lastRenderedPageBreak/>
        <w:t>7%</w:t>
      </w:r>
      <w:r>
        <w:rPr>
          <w:lang w:eastAsia="zh-CN"/>
        </w:rPr>
        <w:t xml:space="preserve">, while </w:t>
      </w:r>
      <w:r w:rsidR="00084847">
        <w:rPr>
          <w:lang w:eastAsia="zh-CN"/>
        </w:rPr>
        <w:t xml:space="preserve">interstate </w:t>
      </w:r>
      <w:r>
        <w:rPr>
          <w:lang w:eastAsia="zh-CN"/>
        </w:rPr>
        <w:t xml:space="preserve">business trips </w:t>
      </w:r>
      <w:r w:rsidR="00084847">
        <w:rPr>
          <w:lang w:eastAsia="zh-CN"/>
        </w:rPr>
        <w:t>increased</w:t>
      </w:r>
      <w:r w:rsidR="00BF327A">
        <w:rPr>
          <w:lang w:eastAsia="zh-CN"/>
        </w:rPr>
        <w:t xml:space="preserve"> </w:t>
      </w:r>
      <w:r w:rsidR="00084847">
        <w:rPr>
          <w:lang w:eastAsia="zh-CN"/>
        </w:rPr>
        <w:t xml:space="preserve">by 2%. </w:t>
      </w:r>
      <w:r w:rsidR="00362ED5">
        <w:rPr>
          <w:lang w:eastAsia="zh-CN"/>
        </w:rPr>
        <w:t xml:space="preserve">The majority </w:t>
      </w:r>
      <w:r w:rsidR="00636E75">
        <w:rPr>
          <w:lang w:eastAsia="zh-CN"/>
        </w:rPr>
        <w:t xml:space="preserve">(78%) </w:t>
      </w:r>
      <w:r w:rsidR="00362ED5">
        <w:rPr>
          <w:lang w:eastAsia="zh-CN"/>
        </w:rPr>
        <w:t xml:space="preserve">of business trips in WA were intrastate trips </w:t>
      </w:r>
      <w:r w:rsidR="00636E75">
        <w:rPr>
          <w:lang w:eastAsia="zh-CN"/>
        </w:rPr>
        <w:t xml:space="preserve">in 2024. </w:t>
      </w:r>
      <w:r w:rsidR="00CD56C9">
        <w:rPr>
          <w:lang w:eastAsia="zh-CN"/>
        </w:rPr>
        <w:t>This was a larger share of intrastate trips than the average for Australia overall</w:t>
      </w:r>
      <w:r w:rsidR="00BF327A">
        <w:rPr>
          <w:lang w:eastAsia="zh-CN"/>
        </w:rPr>
        <w:t xml:space="preserve"> </w:t>
      </w:r>
      <w:r w:rsidR="002E44AC">
        <w:rPr>
          <w:lang w:eastAsia="zh-CN"/>
        </w:rPr>
        <w:t>(which was 58%)</w:t>
      </w:r>
      <w:r w:rsidR="00CD56C9">
        <w:rPr>
          <w:lang w:eastAsia="zh-CN"/>
        </w:rPr>
        <w:t xml:space="preserve">. Across the country, </w:t>
      </w:r>
      <w:r w:rsidR="00DA32AE">
        <w:rPr>
          <w:lang w:eastAsia="zh-CN"/>
        </w:rPr>
        <w:t xml:space="preserve">the growth in </w:t>
      </w:r>
      <w:r w:rsidR="00CD56C9">
        <w:rPr>
          <w:lang w:eastAsia="zh-CN"/>
        </w:rPr>
        <w:t>interstate business trips in</w:t>
      </w:r>
      <w:r w:rsidR="00DA32AE">
        <w:rPr>
          <w:lang w:eastAsia="zh-CN"/>
        </w:rPr>
        <w:t xml:space="preserve"> 2024 was</w:t>
      </w:r>
      <w:r w:rsidR="00CD56C9">
        <w:rPr>
          <w:lang w:eastAsia="zh-CN"/>
        </w:rPr>
        <w:t xml:space="preserve"> stronger than </w:t>
      </w:r>
      <w:r w:rsidR="00DA32AE">
        <w:rPr>
          <w:lang w:eastAsia="zh-CN"/>
        </w:rPr>
        <w:t xml:space="preserve">for </w:t>
      </w:r>
      <w:r w:rsidR="00CD56C9">
        <w:rPr>
          <w:lang w:eastAsia="zh-CN"/>
        </w:rPr>
        <w:t>intrastate trips</w:t>
      </w:r>
      <w:r w:rsidR="00DA32AE">
        <w:rPr>
          <w:lang w:eastAsia="zh-CN"/>
        </w:rPr>
        <w:t xml:space="preserve"> (</w:t>
      </w:r>
      <w:r w:rsidR="001063F3">
        <w:rPr>
          <w:lang w:eastAsia="zh-CN"/>
        </w:rPr>
        <w:t>10% increase in intrastate business trips compared with 5% increase in intrastate business trips)</w:t>
      </w:r>
      <w:r w:rsidR="00CD56C9">
        <w:rPr>
          <w:lang w:eastAsia="zh-CN"/>
        </w:rPr>
        <w:t xml:space="preserve">. </w:t>
      </w:r>
      <w:r w:rsidR="00431A67">
        <w:rPr>
          <w:lang w:eastAsia="zh-CN"/>
        </w:rPr>
        <w:t xml:space="preserve">The exceptions were Victoria and the ACT, where the number of interstate business trips declined. </w:t>
      </w:r>
    </w:p>
    <w:p w14:paraId="4695CAEC" w14:textId="32327BD2" w:rsidR="000D7BDB" w:rsidRDefault="0015620F" w:rsidP="009C2401">
      <w:pPr>
        <w:spacing w:line="300" w:lineRule="atLeast"/>
      </w:pPr>
      <w:r>
        <w:t xml:space="preserve">The average length of </w:t>
      </w:r>
      <w:r w:rsidR="00CD64EA">
        <w:t>o</w:t>
      </w:r>
      <w:r>
        <w:t>n overnight domestic business trip declined slightly in 2024 to 3.4 nights,</w:t>
      </w:r>
      <w:r w:rsidR="00CD64EA">
        <w:t xml:space="preserve"> from 3.6 nights in 2023. The average length of an interstate business trip was </w:t>
      </w:r>
      <w:r w:rsidR="00973459">
        <w:t xml:space="preserve">3.2 nights and the average length of an intrastate business trip was 3.4 nights. Business trips in WA are typically longer than average, lasting </w:t>
      </w:r>
      <w:r w:rsidR="0010053A">
        <w:t xml:space="preserve">6.1 nights in 2024 (up from 5.7 nights in 2023). </w:t>
      </w:r>
      <w:r w:rsidR="00E807AB">
        <w:t>Almost all the other states and territories recorded a decline in the average trip length in 2024</w:t>
      </w:r>
      <w:r w:rsidR="00C349AB">
        <w:t xml:space="preserve"> (except Queensland w</w:t>
      </w:r>
      <w:r w:rsidR="00AD12C9">
        <w:t>h</w:t>
      </w:r>
      <w:r w:rsidR="00C349AB">
        <w:t xml:space="preserve">ere longer interstate business trips </w:t>
      </w:r>
      <w:r w:rsidR="00AD12C9">
        <w:t>supported</w:t>
      </w:r>
      <w:r w:rsidR="00C349AB">
        <w:t xml:space="preserve"> the average trip length</w:t>
      </w:r>
      <w:r w:rsidR="00AD12C9">
        <w:t xml:space="preserve"> of 3.4 nights</w:t>
      </w:r>
      <w:r w:rsidR="00C349AB">
        <w:t>)</w:t>
      </w:r>
      <w:r w:rsidR="00E807AB">
        <w:t>.</w:t>
      </w:r>
      <w:r w:rsidR="005A665E">
        <w:t xml:space="preserve"> Business trips were shortest in N</w:t>
      </w:r>
      <w:r w:rsidR="007D4DB4">
        <w:t xml:space="preserve">ew South Wales (NSW) at 1.2 nights in 2024. </w:t>
      </w:r>
      <w:r w:rsidR="00E807AB">
        <w:t xml:space="preserve"> </w:t>
      </w:r>
    </w:p>
    <w:p w14:paraId="0386E487" w14:textId="376F5AB6" w:rsidR="00902CC8" w:rsidRDefault="00902CC8" w:rsidP="009C2401">
      <w:pPr>
        <w:spacing w:line="300" w:lineRule="atLeast"/>
      </w:pPr>
      <w:r>
        <w:rPr>
          <w:lang w:eastAsia="zh-CN"/>
        </w:rPr>
        <w:t xml:space="preserve">In 2024, more overnight business trips occurred in regional Australia than in capital cities (and the Gold Coast). Across Australia, </w:t>
      </w:r>
      <w:r w:rsidR="001A3F10">
        <w:rPr>
          <w:lang w:eastAsia="zh-CN"/>
        </w:rPr>
        <w:t>57</w:t>
      </w:r>
      <w:r>
        <w:rPr>
          <w:lang w:eastAsia="zh-CN"/>
        </w:rPr>
        <w:t xml:space="preserve">% of business trips </w:t>
      </w:r>
      <w:r w:rsidR="001A3F10">
        <w:rPr>
          <w:lang w:eastAsia="zh-CN"/>
        </w:rPr>
        <w:t xml:space="preserve">(and 64% of nights) </w:t>
      </w:r>
      <w:r>
        <w:rPr>
          <w:lang w:eastAsia="zh-CN"/>
        </w:rPr>
        <w:t xml:space="preserve">were in regional Australia </w:t>
      </w:r>
      <w:r w:rsidR="00137530">
        <w:rPr>
          <w:lang w:eastAsia="zh-CN"/>
        </w:rPr>
        <w:t>(</w:t>
      </w:r>
      <w:r w:rsidR="007B049B">
        <w:rPr>
          <w:lang w:eastAsia="zh-CN"/>
        </w:rPr>
        <w:t>14,200 business trips in regional Australia and 11,500 business trips in capital cities – some trips cover both regions)</w:t>
      </w:r>
      <w:r w:rsidR="000646B3">
        <w:rPr>
          <w:lang w:eastAsia="zh-CN"/>
        </w:rPr>
        <w:t>.</w:t>
      </w:r>
      <w:r w:rsidR="00CB1D2A">
        <w:rPr>
          <w:lang w:eastAsia="zh-CN"/>
        </w:rPr>
        <w:t xml:space="preserve"> </w:t>
      </w:r>
      <w:r w:rsidR="000646B3">
        <w:rPr>
          <w:lang w:eastAsia="zh-CN"/>
        </w:rPr>
        <w:t xml:space="preserve">Australia-wide, </w:t>
      </w:r>
      <w:r w:rsidR="007A1B37">
        <w:rPr>
          <w:lang w:eastAsia="zh-CN"/>
        </w:rPr>
        <w:t xml:space="preserve">the number of business trips to regional Australia increased </w:t>
      </w:r>
      <w:r w:rsidR="00D321FB">
        <w:rPr>
          <w:lang w:eastAsia="zh-CN"/>
        </w:rPr>
        <w:t xml:space="preserve">by 8% (and nights increased by 1%), while the number of trips to capital cities increased by </w:t>
      </w:r>
      <w:r w:rsidR="0040711C">
        <w:rPr>
          <w:lang w:eastAsia="zh-CN"/>
        </w:rPr>
        <w:t>6% (and the number of nights declined by 2%).</w:t>
      </w:r>
    </w:p>
    <w:p w14:paraId="6D3B867E" w14:textId="77777777" w:rsidR="00CC2748" w:rsidRDefault="00CC2748" w:rsidP="00CC2748">
      <w:pPr>
        <w:pStyle w:val="Quote"/>
        <w:rPr>
          <w:lang w:eastAsia="zh-CN"/>
        </w:rPr>
      </w:pPr>
      <w:r>
        <w:rPr>
          <w:lang w:eastAsia="zh-CN"/>
        </w:rPr>
        <w:t xml:space="preserve">Key insights: </w:t>
      </w:r>
    </w:p>
    <w:p w14:paraId="47485BF3" w14:textId="66106E47" w:rsidR="00B059C8" w:rsidRDefault="00CC2748" w:rsidP="00CC2748">
      <w:pPr>
        <w:rPr>
          <w:lang w:eastAsia="zh-CN"/>
        </w:rPr>
      </w:pPr>
      <w:r w:rsidRPr="007B4CBB">
        <w:rPr>
          <w:b/>
          <w:bCs/>
          <w:lang w:eastAsia="zh-CN"/>
        </w:rPr>
        <w:t xml:space="preserve">Domestic overnight </w:t>
      </w:r>
      <w:r>
        <w:rPr>
          <w:b/>
          <w:bCs/>
          <w:lang w:eastAsia="zh-CN"/>
        </w:rPr>
        <w:t>business</w:t>
      </w:r>
      <w:r w:rsidRPr="007B4CBB">
        <w:rPr>
          <w:b/>
          <w:bCs/>
          <w:lang w:eastAsia="zh-CN"/>
        </w:rPr>
        <w:t xml:space="preserve"> travel</w:t>
      </w:r>
      <w:r>
        <w:rPr>
          <w:lang w:eastAsia="zh-CN"/>
        </w:rPr>
        <w:t xml:space="preserve"> i</w:t>
      </w:r>
      <w:r w:rsidR="00000846">
        <w:rPr>
          <w:lang w:eastAsia="zh-CN"/>
        </w:rPr>
        <w:t>ncreased in 2024</w:t>
      </w:r>
      <w:r w:rsidR="00D85A1F">
        <w:rPr>
          <w:lang w:eastAsia="zh-CN"/>
        </w:rPr>
        <w:t xml:space="preserve">. </w:t>
      </w:r>
      <w:r w:rsidR="00AD0473">
        <w:rPr>
          <w:lang w:eastAsia="zh-CN"/>
        </w:rPr>
        <w:t>There were more business trips</w:t>
      </w:r>
      <w:r w:rsidR="00C35AE6">
        <w:rPr>
          <w:lang w:eastAsia="zh-CN"/>
        </w:rPr>
        <w:t>,</w:t>
      </w:r>
      <w:r w:rsidR="00AD0473">
        <w:rPr>
          <w:lang w:eastAsia="zh-CN"/>
        </w:rPr>
        <w:t xml:space="preserve"> but the average trip length declined slightly and the </w:t>
      </w:r>
      <w:r w:rsidR="00C35AE6">
        <w:rPr>
          <w:lang w:eastAsia="zh-CN"/>
        </w:rPr>
        <w:t xml:space="preserve">average trip spend fell by 3%. This </w:t>
      </w:r>
      <w:r w:rsidR="001B7966">
        <w:rPr>
          <w:lang w:eastAsia="zh-CN"/>
        </w:rPr>
        <w:t>is consistent with</w:t>
      </w:r>
      <w:r w:rsidR="00C35AE6">
        <w:rPr>
          <w:lang w:eastAsia="zh-CN"/>
        </w:rPr>
        <w:t xml:space="preserve"> </w:t>
      </w:r>
      <w:r w:rsidR="00F12490">
        <w:rPr>
          <w:lang w:eastAsia="zh-CN"/>
        </w:rPr>
        <w:t xml:space="preserve">travel budget pressures for </w:t>
      </w:r>
      <w:r w:rsidR="001B7966">
        <w:rPr>
          <w:lang w:eastAsia="zh-CN"/>
        </w:rPr>
        <w:t>Australian businesses</w:t>
      </w:r>
      <w:r w:rsidR="00C35AE6">
        <w:rPr>
          <w:lang w:eastAsia="zh-CN"/>
        </w:rPr>
        <w:t xml:space="preserve"> </w:t>
      </w:r>
      <w:r w:rsidR="001B7966">
        <w:rPr>
          <w:lang w:eastAsia="zh-CN"/>
        </w:rPr>
        <w:t>in 2024.</w:t>
      </w:r>
      <w:r w:rsidR="00C35AE6">
        <w:rPr>
          <w:lang w:eastAsia="zh-CN"/>
        </w:rPr>
        <w:t xml:space="preserve"> </w:t>
      </w:r>
      <w:r w:rsidR="00913194">
        <w:rPr>
          <w:lang w:eastAsia="zh-CN"/>
        </w:rPr>
        <w:t>Over the year, t</w:t>
      </w:r>
      <w:r w:rsidR="00AD697E">
        <w:rPr>
          <w:lang w:eastAsia="zh-CN"/>
        </w:rPr>
        <w:t>here was stronger growth in interstate business trips, which typically have a higher average trip spend</w:t>
      </w:r>
      <w:r w:rsidR="009B595D">
        <w:rPr>
          <w:lang w:eastAsia="zh-CN"/>
        </w:rPr>
        <w:t xml:space="preserve"> </w:t>
      </w:r>
      <w:r w:rsidR="008D3ADD">
        <w:rPr>
          <w:lang w:eastAsia="zh-CN"/>
        </w:rPr>
        <w:t>than intrastate business trips</w:t>
      </w:r>
      <w:r w:rsidR="006C074B">
        <w:rPr>
          <w:lang w:eastAsia="zh-CN"/>
        </w:rPr>
        <w:t xml:space="preserve"> (approximately double the average trip spend)</w:t>
      </w:r>
      <w:r w:rsidR="00AD697E">
        <w:rPr>
          <w:lang w:eastAsia="zh-CN"/>
        </w:rPr>
        <w:t xml:space="preserve">. </w:t>
      </w:r>
    </w:p>
    <w:p w14:paraId="1900ADC7" w14:textId="77777777" w:rsidR="004D1B73" w:rsidRPr="00D70D0F" w:rsidRDefault="004D1B73" w:rsidP="004D1B73">
      <w:pPr>
        <w:spacing w:line="300" w:lineRule="atLeast"/>
      </w:pPr>
      <w:r w:rsidRPr="00D70D0F">
        <w:t>In 2024, business trips and spend increased more for:</w:t>
      </w:r>
    </w:p>
    <w:p w14:paraId="4A177925" w14:textId="77777777" w:rsidR="004D1B73" w:rsidRPr="00D70D0F" w:rsidRDefault="004D1B73" w:rsidP="004D1B73">
      <w:pPr>
        <w:pStyle w:val="BulletList"/>
      </w:pPr>
      <w:r w:rsidRPr="00D70D0F">
        <w:rPr>
          <w:b/>
          <w:bCs/>
        </w:rPr>
        <w:t>interstate</w:t>
      </w:r>
      <w:r w:rsidRPr="00D70D0F">
        <w:t xml:space="preserve"> business travel than for intrastate travel </w:t>
      </w:r>
    </w:p>
    <w:p w14:paraId="018F4FB8" w14:textId="77777777" w:rsidR="004D1B73" w:rsidRPr="00D70D0F" w:rsidRDefault="004D1B73" w:rsidP="004D1B73">
      <w:pPr>
        <w:pStyle w:val="BulletList"/>
      </w:pPr>
      <w:r w:rsidRPr="00D70D0F">
        <w:t xml:space="preserve">business travel to </w:t>
      </w:r>
      <w:r w:rsidRPr="00D70D0F">
        <w:rPr>
          <w:b/>
          <w:bCs/>
        </w:rPr>
        <w:t xml:space="preserve">regional Australia </w:t>
      </w:r>
      <w:r w:rsidRPr="00D70D0F">
        <w:t xml:space="preserve">than to capital cities. </w:t>
      </w:r>
    </w:p>
    <w:p w14:paraId="1540DAD7" w14:textId="74CBCCE2" w:rsidR="008529DE" w:rsidRDefault="00B059C8" w:rsidP="00B1799A">
      <w:pPr>
        <w:rPr>
          <w:lang w:eastAsia="zh-CN"/>
        </w:rPr>
      </w:pPr>
      <w:r>
        <w:rPr>
          <w:lang w:eastAsia="zh-CN"/>
        </w:rPr>
        <w:t>Interestingly, in W</w:t>
      </w:r>
      <w:r w:rsidR="00913194">
        <w:rPr>
          <w:lang w:eastAsia="zh-CN"/>
        </w:rPr>
        <w:t xml:space="preserve">estern </w:t>
      </w:r>
      <w:r>
        <w:rPr>
          <w:lang w:eastAsia="zh-CN"/>
        </w:rPr>
        <w:t>A</w:t>
      </w:r>
      <w:r w:rsidR="00913194">
        <w:rPr>
          <w:lang w:eastAsia="zh-CN"/>
        </w:rPr>
        <w:t>ustralia</w:t>
      </w:r>
      <w:r>
        <w:rPr>
          <w:lang w:eastAsia="zh-CN"/>
        </w:rPr>
        <w:t xml:space="preserve">, </w:t>
      </w:r>
      <w:r w:rsidR="00D77C28">
        <w:rPr>
          <w:lang w:eastAsia="zh-CN"/>
        </w:rPr>
        <w:t>which has a high share</w:t>
      </w:r>
      <w:r>
        <w:rPr>
          <w:lang w:eastAsia="zh-CN"/>
        </w:rPr>
        <w:t xml:space="preserve"> of business travel, </w:t>
      </w:r>
      <w:r w:rsidR="00D77C28">
        <w:rPr>
          <w:lang w:eastAsia="zh-CN"/>
        </w:rPr>
        <w:t xml:space="preserve">there were fewer business trips in 2024 than in the previous year. </w:t>
      </w:r>
      <w:r w:rsidR="00413B4A">
        <w:rPr>
          <w:lang w:eastAsia="zh-CN"/>
        </w:rPr>
        <w:t>The decline was due to few</w:t>
      </w:r>
      <w:r w:rsidR="00913194">
        <w:rPr>
          <w:lang w:eastAsia="zh-CN"/>
        </w:rPr>
        <w:t>er</w:t>
      </w:r>
      <w:r w:rsidR="00413B4A">
        <w:rPr>
          <w:lang w:eastAsia="zh-CN"/>
        </w:rPr>
        <w:t xml:space="preserve"> intrastate business trips</w:t>
      </w:r>
      <w:r w:rsidR="00996155">
        <w:rPr>
          <w:lang w:eastAsia="zh-CN"/>
        </w:rPr>
        <w:t>, however</w:t>
      </w:r>
      <w:r w:rsidR="00D77C28">
        <w:rPr>
          <w:lang w:eastAsia="zh-CN"/>
        </w:rPr>
        <w:t xml:space="preserve">, </w:t>
      </w:r>
      <w:r w:rsidR="0007741D">
        <w:rPr>
          <w:lang w:eastAsia="zh-CN"/>
        </w:rPr>
        <w:t xml:space="preserve">the average length of </w:t>
      </w:r>
      <w:r w:rsidR="00E97625">
        <w:rPr>
          <w:lang w:eastAsia="zh-CN"/>
        </w:rPr>
        <w:t xml:space="preserve">, and average spend on, </w:t>
      </w:r>
      <w:r w:rsidR="00996155">
        <w:rPr>
          <w:lang w:eastAsia="zh-CN"/>
        </w:rPr>
        <w:t xml:space="preserve">intrastate business </w:t>
      </w:r>
      <w:r w:rsidR="0007741D">
        <w:rPr>
          <w:lang w:eastAsia="zh-CN"/>
        </w:rPr>
        <w:t>trip</w:t>
      </w:r>
      <w:r w:rsidR="00996155">
        <w:rPr>
          <w:lang w:eastAsia="zh-CN"/>
        </w:rPr>
        <w:t>s in WA</w:t>
      </w:r>
      <w:r w:rsidR="0007741D">
        <w:rPr>
          <w:lang w:eastAsia="zh-CN"/>
        </w:rPr>
        <w:t xml:space="preserve"> increased</w:t>
      </w:r>
      <w:r w:rsidR="00E97625">
        <w:rPr>
          <w:lang w:eastAsia="zh-CN"/>
        </w:rPr>
        <w:t>.</w:t>
      </w:r>
    </w:p>
    <w:p w14:paraId="7418315C" w14:textId="1328B83A" w:rsidR="008529DE" w:rsidRDefault="008529DE" w:rsidP="008529DE">
      <w:pPr>
        <w:pStyle w:val="Heading4"/>
      </w:pPr>
      <w:r>
        <w:t>Domestic VFR trips</w:t>
      </w:r>
    </w:p>
    <w:p w14:paraId="5FC16156" w14:textId="7725070D" w:rsidR="00DE02B3" w:rsidRPr="00DE02B3" w:rsidRDefault="00DE02B3" w:rsidP="00DE02B3">
      <w:r w:rsidRPr="00DE02B3">
        <w:t>Visiting friends and relatives (VFR) remains a key reason for travel. VFR travel accounted for 19% of domestic overnight trips in 2024. Overall, there was a slight decline in the number of VFR trips and nights in 2024. However, there were sharp differences in VFR trends across the states/territories</w:t>
      </w:r>
      <w:r w:rsidR="000D70BF">
        <w:t xml:space="preserve"> (Figure 6)</w:t>
      </w:r>
      <w:r w:rsidRPr="00DE02B3">
        <w:t>.</w:t>
      </w:r>
    </w:p>
    <w:p w14:paraId="736629AA" w14:textId="599FC65D" w:rsidR="005B1348" w:rsidRDefault="005B1348" w:rsidP="005B1348">
      <w:pPr>
        <w:pStyle w:val="ListBullet"/>
        <w:keepNext/>
        <w:numPr>
          <w:ilvl w:val="0"/>
          <w:numId w:val="0"/>
        </w:numPr>
        <w:spacing w:line="300" w:lineRule="atLeast"/>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6</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737111">
        <w:rPr>
          <w:rFonts w:ascii="Verdana" w:eastAsiaTheme="minorHAnsi" w:hAnsi="Verdana"/>
          <w:color w:val="300050" w:themeColor="text2"/>
          <w:lang w:eastAsia="en-US"/>
        </w:rPr>
        <w:t>D</w:t>
      </w:r>
      <w:r>
        <w:rPr>
          <w:rFonts w:ascii="Verdana" w:eastAsiaTheme="minorHAnsi" w:hAnsi="Verdana"/>
          <w:color w:val="300050" w:themeColor="text2"/>
          <w:lang w:eastAsia="en-US"/>
        </w:rPr>
        <w:t xml:space="preserve">omestic overnight VFR trips by </w:t>
      </w:r>
      <w:r w:rsidR="00737111">
        <w:rPr>
          <w:rFonts w:ascii="Verdana" w:eastAsiaTheme="minorHAnsi" w:hAnsi="Verdana"/>
          <w:color w:val="300050" w:themeColor="text2"/>
          <w:lang w:eastAsia="en-US"/>
        </w:rPr>
        <w:t>state/territory, change</w:t>
      </w:r>
      <w:r w:rsidR="001130FC">
        <w:rPr>
          <w:rFonts w:ascii="Verdana" w:eastAsiaTheme="minorHAnsi" w:hAnsi="Verdana"/>
          <w:color w:val="300050" w:themeColor="text2"/>
          <w:lang w:eastAsia="en-US"/>
        </w:rPr>
        <w:t xml:space="preserve">, %, </w:t>
      </w:r>
      <w:r>
        <w:rPr>
          <w:rFonts w:ascii="Verdana" w:eastAsiaTheme="minorHAnsi" w:hAnsi="Verdana"/>
          <w:color w:val="300050" w:themeColor="text2"/>
          <w:lang w:eastAsia="en-US"/>
        </w:rPr>
        <w:t>in 2024 compared with 2023.</w:t>
      </w:r>
    </w:p>
    <w:p w14:paraId="3EB12781" w14:textId="09BB72E1" w:rsidR="00D46F2A" w:rsidRDefault="00D46F2A" w:rsidP="000D70BF">
      <w:pPr>
        <w:spacing w:line="240" w:lineRule="atLeast"/>
        <w:jc w:val="center"/>
      </w:pPr>
      <w:r w:rsidRPr="00D46F2A">
        <w:rPr>
          <w:noProof/>
        </w:rPr>
        <w:drawing>
          <wp:inline distT="0" distB="0" distL="0" distR="0" wp14:anchorId="30BEF965" wp14:editId="4A6D9D59">
            <wp:extent cx="5521960" cy="4438650"/>
            <wp:effectExtent l="0" t="0" r="2540" b="0"/>
            <wp:docPr id="1190130455" name="Picture 1" descr="This bar chart shows the change in the number, nights and spend on domestic overnight VFR trips for each state/territory in 2024 compared with 2023. The NT, WA and Queensland recorded growth in each of the 3 metrics for VFR travel (trips, nights and spend). On the other hand, Victoria and the ACT saw the largest declines in the 3 metrics. Overall, there was a 1% fall in the number of domestic overnight VFR trips in 2024, no change in nights and 1% increase in spend compared wit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30455" name="Picture 1" descr="This bar chart shows the change in the number, nights and spend on domestic overnight VFR trips for each state/territory in 2024 compared with 2023. The NT, WA and Queensland recorded growth in each of the 3 metrics for VFR travel (trips, nights and spend). On the other hand, Victoria and the ACT saw the largest declines in the 3 metrics. Overall, there was a 1% fall in the number of domestic overnight VFR trips in 2024, no change in nights and 1% increase in spend compared with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400" cy="4439004"/>
                    </a:xfrm>
                    <a:prstGeom prst="rect">
                      <a:avLst/>
                    </a:prstGeom>
                    <a:noFill/>
                    <a:ln>
                      <a:noFill/>
                    </a:ln>
                  </pic:spPr>
                </pic:pic>
              </a:graphicData>
            </a:graphic>
          </wp:inline>
        </w:drawing>
      </w:r>
    </w:p>
    <w:p w14:paraId="5DBC50F9" w14:textId="77777777" w:rsidR="0086393E" w:rsidRDefault="00D027AF" w:rsidP="0086393E">
      <w:r>
        <w:t>In contrast to other domestic overnight trips, the a</w:t>
      </w:r>
      <w:r w:rsidR="000D70BF" w:rsidRPr="00DE02B3">
        <w:t xml:space="preserve">verage spend per VFR trip increased by 2% in 2024 (to $593). </w:t>
      </w:r>
      <w:r w:rsidR="0086393E" w:rsidRPr="00DE02B3">
        <w:t xml:space="preserve">By age cohort, those aged 75+ spent 12% more on VFR trips in 2024 than in 2023 and drove the total increase in VFR spend. In contrast, those aged 30-44 pulled back on VFR spend by more than the other age cohorts. </w:t>
      </w:r>
    </w:p>
    <w:p w14:paraId="7D06891F" w14:textId="591EF5C0" w:rsidR="00C865D0" w:rsidRPr="009F1A40" w:rsidRDefault="000D70BF" w:rsidP="00C865D0">
      <w:pPr>
        <w:rPr>
          <w:lang w:eastAsia="zh-CN"/>
        </w:rPr>
      </w:pPr>
      <w:r w:rsidRPr="00DE02B3">
        <w:t xml:space="preserve">Increased spend on airfares contributed to </w:t>
      </w:r>
      <w:r w:rsidR="0086393E">
        <w:t>the increased average spend per VFR trip</w:t>
      </w:r>
      <w:r w:rsidR="00E23C74">
        <w:t xml:space="preserve">. The increase in spend on airfares may reflect the </w:t>
      </w:r>
      <w:r w:rsidR="00A52322">
        <w:t xml:space="preserve">growth in </w:t>
      </w:r>
      <w:r w:rsidRPr="00DE02B3">
        <w:t xml:space="preserve">interstate VFR travel in 2024 (up by 1.2%) while intrastate VFR travel declined (down by 2%). </w:t>
      </w:r>
      <w:r w:rsidR="00D027AF" w:rsidRPr="009F1A40">
        <w:rPr>
          <w:lang w:eastAsia="zh-CN"/>
        </w:rPr>
        <w:t>In 2024, 70% of domestic VFR trips were intrastate trips and 30% were interstate trips.</w:t>
      </w:r>
      <w:r w:rsidR="00C865D0" w:rsidRPr="00C865D0">
        <w:rPr>
          <w:lang w:eastAsia="zh-CN"/>
        </w:rPr>
        <w:t xml:space="preserve"> </w:t>
      </w:r>
      <w:r w:rsidR="00C865D0" w:rsidRPr="009F1A40">
        <w:rPr>
          <w:lang w:eastAsia="zh-CN"/>
        </w:rPr>
        <w:t xml:space="preserve">Intrastate VFR travel </w:t>
      </w:r>
      <w:r w:rsidR="00AA00ED">
        <w:rPr>
          <w:lang w:eastAsia="zh-CN"/>
        </w:rPr>
        <w:t xml:space="preserve">declined in most states/territories and </w:t>
      </w:r>
      <w:r w:rsidR="00C865D0" w:rsidRPr="009F1A40">
        <w:rPr>
          <w:lang w:eastAsia="zh-CN"/>
        </w:rPr>
        <w:t>only increased in Qld and WA.</w:t>
      </w:r>
      <w:r w:rsidR="00AA00ED">
        <w:rPr>
          <w:lang w:eastAsia="zh-CN"/>
        </w:rPr>
        <w:t xml:space="preserve"> </w:t>
      </w:r>
      <w:r w:rsidR="00C865D0" w:rsidRPr="009F1A40">
        <w:rPr>
          <w:lang w:eastAsia="zh-CN"/>
        </w:rPr>
        <w:t>Interstate VFR travel</w:t>
      </w:r>
      <w:r w:rsidR="0086393E">
        <w:rPr>
          <w:lang w:eastAsia="zh-CN"/>
        </w:rPr>
        <w:t>, on the other hand,</w:t>
      </w:r>
      <w:r w:rsidR="00C865D0" w:rsidRPr="009F1A40">
        <w:rPr>
          <w:lang w:eastAsia="zh-CN"/>
        </w:rPr>
        <w:t xml:space="preserve"> increased in all states except Vic, SA and the ACT. </w:t>
      </w:r>
    </w:p>
    <w:p w14:paraId="11AE5255" w14:textId="77777777" w:rsidR="000D70BF" w:rsidRPr="00DE02B3" w:rsidRDefault="000D70BF" w:rsidP="00CA1C02">
      <w:pPr>
        <w:spacing w:line="240" w:lineRule="atLeast"/>
      </w:pPr>
    </w:p>
    <w:p w14:paraId="0274631B" w14:textId="46E048F5" w:rsidR="009F1A40" w:rsidRPr="009F1A40" w:rsidRDefault="00AD71B6" w:rsidP="00D027AF">
      <w:pPr>
        <w:rPr>
          <w:lang w:eastAsia="zh-CN"/>
        </w:rPr>
      </w:pPr>
      <w:r>
        <w:rPr>
          <w:lang w:eastAsia="zh-CN"/>
        </w:rPr>
        <w:br w:type="page"/>
      </w:r>
    </w:p>
    <w:p w14:paraId="44B51CCB" w14:textId="7EE9DB8E" w:rsidR="006E69E3" w:rsidRDefault="006E69E3" w:rsidP="006E69E3">
      <w:pPr>
        <w:pStyle w:val="Heading3"/>
        <w:rPr>
          <w:lang w:eastAsia="zh-CN"/>
        </w:rPr>
      </w:pPr>
      <w:bookmarkStart w:id="17" w:name="_Toc200703618"/>
      <w:r>
        <w:rPr>
          <w:lang w:eastAsia="zh-CN"/>
        </w:rPr>
        <w:lastRenderedPageBreak/>
        <w:t>International inbound trips</w:t>
      </w:r>
      <w:bookmarkEnd w:id="17"/>
    </w:p>
    <w:p w14:paraId="7E31BCFF" w14:textId="77777777" w:rsidR="008757DF" w:rsidRPr="001F2A99" w:rsidRDefault="001F2A99" w:rsidP="008757DF">
      <w:pPr>
        <w:spacing w:line="300" w:lineRule="atLeast"/>
        <w:rPr>
          <w:lang w:eastAsia="zh-CN"/>
        </w:rPr>
      </w:pPr>
      <w:r w:rsidRPr="001F2A99">
        <w:rPr>
          <w:lang w:eastAsia="zh-CN"/>
        </w:rPr>
        <w:t xml:space="preserve">Australia has unique flora and fauna and offers rich cultural experiences for international visitors. Australia is considered a friendly, safe and accessible destination that is welcoming to others. This sense of safety and stability may support demand growth during periods of global uncertainty and conflict. </w:t>
      </w:r>
      <w:r w:rsidR="008757DF" w:rsidRPr="001F2A99">
        <w:rPr>
          <w:lang w:eastAsia="zh-CN"/>
        </w:rPr>
        <w:t xml:space="preserve">The Australian dollar also tracked slightly lower in 2024 Australia’s improving affordability as a destination for international visitors. </w:t>
      </w:r>
    </w:p>
    <w:p w14:paraId="75DA6196" w14:textId="6A666647" w:rsidR="001F2A99" w:rsidRPr="001F2A99" w:rsidRDefault="001F2A99" w:rsidP="001F2A99">
      <w:pPr>
        <w:spacing w:line="300" w:lineRule="atLeast"/>
        <w:rPr>
          <w:lang w:eastAsia="zh-CN"/>
        </w:rPr>
      </w:pPr>
      <w:r w:rsidRPr="001F2A99">
        <w:rPr>
          <w:lang w:eastAsia="zh-CN"/>
        </w:rPr>
        <w:t xml:space="preserve">In 2024, Australia attracted </w:t>
      </w:r>
      <w:r w:rsidR="005B132E">
        <w:rPr>
          <w:lang w:eastAsia="zh-CN"/>
        </w:rPr>
        <w:t xml:space="preserve">nearly 1 million </w:t>
      </w:r>
      <w:r w:rsidRPr="001F2A99">
        <w:rPr>
          <w:lang w:eastAsia="zh-CN"/>
        </w:rPr>
        <w:t xml:space="preserve">more international visitors, generated higher traveller spend and saw increased visitation across a broad range of destinations within Australia. </w:t>
      </w:r>
    </w:p>
    <w:p w14:paraId="144E5CD0" w14:textId="6BB96371" w:rsidR="008757DF" w:rsidRPr="008757DF" w:rsidRDefault="008757DF" w:rsidP="008757DF">
      <w:pPr>
        <w:spacing w:line="300" w:lineRule="atLeast"/>
        <w:rPr>
          <w:lang w:eastAsia="zh-CN"/>
        </w:rPr>
      </w:pPr>
      <w:r w:rsidRPr="008757DF">
        <w:rPr>
          <w:lang w:eastAsia="zh-CN"/>
        </w:rPr>
        <w:t>International short-term visitor spend in Australia reached $32.9 billion in 2024. This was a record high and an increase of $4.8 billion (17%) on the previous year.</w:t>
      </w:r>
      <w:r w:rsidR="00D307AD">
        <w:rPr>
          <w:lang w:eastAsia="zh-CN"/>
        </w:rPr>
        <w:t xml:space="preserve"> </w:t>
      </w:r>
      <w:r w:rsidRPr="008757DF">
        <w:rPr>
          <w:lang w:eastAsia="zh-CN"/>
        </w:rPr>
        <w:t>By purpose of travel, education provided the biggest contribution to spend in Australia in 2024, accounting for 35% of total short-term international visitor spend in Australia</w:t>
      </w:r>
      <w:r w:rsidR="00D11244">
        <w:rPr>
          <w:lang w:eastAsia="zh-CN"/>
        </w:rPr>
        <w:t xml:space="preserve"> (Figure 7)</w:t>
      </w:r>
      <w:r w:rsidRPr="008757DF">
        <w:rPr>
          <w:lang w:eastAsia="zh-CN"/>
        </w:rPr>
        <w:t>.</w:t>
      </w:r>
      <w:r w:rsidR="00180CDF">
        <w:rPr>
          <w:lang w:eastAsia="zh-CN"/>
        </w:rPr>
        <w:t xml:space="preserve"> </w:t>
      </w:r>
      <w:r w:rsidRPr="008757DF">
        <w:rPr>
          <w:lang w:eastAsia="zh-CN"/>
        </w:rPr>
        <w:t>‘Leisure’ travel, consisting of Holiday and VFR, accounted for nearly $1 in every $2 spent in Australia in 2024.</w:t>
      </w:r>
    </w:p>
    <w:p w14:paraId="2018C301" w14:textId="41B292E6" w:rsidR="00BC624D" w:rsidRDefault="00BC624D" w:rsidP="00BC624D">
      <w:pPr>
        <w:pStyle w:val="ListBullet"/>
        <w:keepNext/>
        <w:numPr>
          <w:ilvl w:val="0"/>
          <w:numId w:val="0"/>
        </w:numPr>
        <w:spacing w:line="300" w:lineRule="atLeast"/>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C35FD0">
        <w:rPr>
          <w:rFonts w:ascii="Verdana" w:eastAsiaTheme="minorHAnsi" w:hAnsi="Verdana"/>
          <w:b/>
          <w:bCs/>
          <w:noProof/>
          <w:color w:val="300050" w:themeColor="text2"/>
          <w:lang w:eastAsia="en-US"/>
        </w:rPr>
        <w:t>7</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Pr>
          <w:rFonts w:ascii="Verdana" w:eastAsiaTheme="minorHAnsi" w:hAnsi="Verdana"/>
          <w:color w:val="300050" w:themeColor="text2"/>
          <w:lang w:eastAsia="en-US"/>
        </w:rPr>
        <w:t>International spend in Australia in 2024 by main purpose of trip.</w:t>
      </w:r>
    </w:p>
    <w:p w14:paraId="2944A2BC" w14:textId="72BCC69D" w:rsidR="00AB43F1" w:rsidRDefault="007C0717" w:rsidP="009C2401">
      <w:pPr>
        <w:spacing w:line="300" w:lineRule="atLeast"/>
        <w:rPr>
          <w:lang w:eastAsia="zh-CN"/>
        </w:rPr>
      </w:pPr>
      <w:r w:rsidRPr="007C0717">
        <w:rPr>
          <w:noProof/>
        </w:rPr>
        <w:drawing>
          <wp:inline distT="0" distB="0" distL="0" distR="0" wp14:anchorId="040DF1C5" wp14:editId="40CFD585">
            <wp:extent cx="6267450" cy="4533900"/>
            <wp:effectExtent l="0" t="0" r="0" b="0"/>
            <wp:docPr id="932639555" name="Picture 2" descr="This pie chart shows the breakdown of international spend in Australia by purpose of travel in 2024. It also lists the top 3 source markets for that purpose of trip and spend in Australia in 2024 for that market and purpose of trip. Education was the largest component of spend (35%, at $11.6 billion in 2024) and the 3 largest source markets for education spend in 2024 were China ($5.8 billion), India ($0.6 billion) and Vietnam ($0.5 billion). Holiday travel was slightly smaller than education in 2024. Holiday travel accounted for 34% of total international spend in Australia ($11.0 billion) and the largest markets were China ($1.1 billion), USA ($1.1 billion) and South Korea ($1.0 billion). VFR was the third largest category of spend (15%, at $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39555" name="Picture 2" descr="This pie chart shows the breakdown of international spend in Australia by purpose of travel in 2024. It also lists the top 3 source markets for that purpose of trip and spend in Australia in 2024 for that market and purpose of trip. Education was the largest component of spend (35%, at $11.6 billion in 2024) and the 3 largest source markets for education spend in 2024 were China ($5.8 billion), India ($0.6 billion) and Vietnam ($0.5 billion). Holiday travel was slightly smaller than education in 2024. Holiday travel accounted for 34% of total international spend in Australia ($11.0 billion) and the largest markets were China ($1.1 billion), USA ($1.1 billion) and South Korea ($1.0 billion). VFR was the third largest category of spend (15%, at $5 bill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7450" cy="4533900"/>
                    </a:xfrm>
                    <a:prstGeom prst="rect">
                      <a:avLst/>
                    </a:prstGeom>
                    <a:noFill/>
                    <a:ln>
                      <a:noFill/>
                    </a:ln>
                  </pic:spPr>
                </pic:pic>
              </a:graphicData>
            </a:graphic>
          </wp:inline>
        </w:drawing>
      </w:r>
    </w:p>
    <w:p w14:paraId="6E76426F" w14:textId="66DD5443" w:rsidR="001E179D" w:rsidRDefault="001E179D" w:rsidP="001E179D">
      <w:pPr>
        <w:spacing w:line="300" w:lineRule="atLeast"/>
        <w:rPr>
          <w:lang w:eastAsia="zh-CN"/>
        </w:rPr>
      </w:pPr>
      <w:r>
        <w:rPr>
          <w:lang w:eastAsia="zh-CN"/>
        </w:rPr>
        <w:t xml:space="preserve">By source market, </w:t>
      </w:r>
      <w:r w:rsidRPr="008757DF">
        <w:rPr>
          <w:lang w:eastAsia="zh-CN"/>
        </w:rPr>
        <w:t xml:space="preserve">China </w:t>
      </w:r>
      <w:r>
        <w:rPr>
          <w:lang w:eastAsia="zh-CN"/>
        </w:rPr>
        <w:t>wa</w:t>
      </w:r>
      <w:r w:rsidRPr="008757DF">
        <w:rPr>
          <w:lang w:eastAsia="zh-CN"/>
        </w:rPr>
        <w:t>s the top contributing source market, accounting for $8.1 billion (25%) of total spend in Australia</w:t>
      </w:r>
      <w:r>
        <w:rPr>
          <w:lang w:eastAsia="zh-CN"/>
        </w:rPr>
        <w:t xml:space="preserve"> in 2024</w:t>
      </w:r>
      <w:r w:rsidRPr="008757DF">
        <w:rPr>
          <w:lang w:eastAsia="zh-CN"/>
        </w:rPr>
        <w:t xml:space="preserve">. </w:t>
      </w:r>
      <w:r>
        <w:rPr>
          <w:lang w:eastAsia="zh-CN"/>
        </w:rPr>
        <w:t xml:space="preserve">China was the largest source market for education trip spend, accounting for half of the total education spend in Australia. India, Vietnam, Japan and Hong Kong were the next largest markets in 2024 for education spend. International visitors are not classified as short-term visitors if they remain in Australia for more than 12 months without </w:t>
      </w:r>
      <w:r>
        <w:rPr>
          <w:lang w:eastAsia="zh-CN"/>
        </w:rPr>
        <w:lastRenderedPageBreak/>
        <w:t>returning home. Long-stay students, such as those engaged in multi-year degrees without returning home are excluded from the IVS measures.</w:t>
      </w:r>
    </w:p>
    <w:p w14:paraId="329DE566" w14:textId="181D5274" w:rsidR="001E179D" w:rsidRDefault="001E179D" w:rsidP="009C2401">
      <w:pPr>
        <w:spacing w:line="300" w:lineRule="atLeast"/>
        <w:rPr>
          <w:lang w:eastAsia="zh-CN"/>
        </w:rPr>
      </w:pPr>
      <w:r>
        <w:rPr>
          <w:lang w:eastAsia="zh-CN"/>
        </w:rPr>
        <w:t xml:space="preserve">Compared with the previous year, the largest increases in spend in 2024 were in travel for holiday (up by $2.6 billion, 31%), education (up by $1.1 billion, 10%) and employment (up by $0.9 billion, 46%). There was a slight decline in international business spend in the year (down by 3%) despite an increase in the number of international business trips (up by 7%), indicating a pull-back in spend per trip for international business trips. </w:t>
      </w:r>
    </w:p>
    <w:p w14:paraId="0007D7CE" w14:textId="77777777" w:rsidR="00E7664D" w:rsidRDefault="00E7664D" w:rsidP="00E7664D">
      <w:pPr>
        <w:pStyle w:val="Heading4"/>
        <w:rPr>
          <w:lang w:eastAsia="zh-CN"/>
        </w:rPr>
      </w:pPr>
      <w:r>
        <w:rPr>
          <w:lang w:eastAsia="zh-CN"/>
        </w:rPr>
        <w:t xml:space="preserve">International trips by state and territory </w:t>
      </w:r>
    </w:p>
    <w:p w14:paraId="47EEA3CC" w14:textId="77777777" w:rsidR="00E7664D" w:rsidRDefault="00E7664D" w:rsidP="00E7664D">
      <w:pPr>
        <w:rPr>
          <w:lang w:eastAsia="zh-CN"/>
        </w:rPr>
      </w:pPr>
      <w:r>
        <w:rPr>
          <w:lang w:eastAsia="zh-CN"/>
        </w:rPr>
        <w:t>New South Wales received the most international visitors in 2024, with half of all short-term international visitors reporting a stopover in that state (Figure 7). Across Australia, China, New Zealand, the UK and USA are typically among the largest source markets for each of the states and territories (except China for the Northern Territory). Nevertheless, there was some interesting variation in the top 5 international source markets for each state and territory, ranked by IVS trip numbers in 2024.</w:t>
      </w:r>
    </w:p>
    <w:p w14:paraId="290E9829" w14:textId="77777777" w:rsidR="00E7664D" w:rsidRDefault="00E7664D" w:rsidP="00E7664D">
      <w:pPr>
        <w:rPr>
          <w:lang w:eastAsia="zh-CN"/>
        </w:rPr>
      </w:pPr>
      <w:r>
        <w:rPr>
          <w:lang w:eastAsia="zh-CN"/>
        </w:rPr>
        <w:t>Trip numbers from China increased substantially in 2024, and this market made the largest contribution to growth in international trip numbers for most states and territories. There were also significant contributions from growth in trip numbers from South Korea (for NSW), India (for Victoria), Japan (for Queensland), Germany (for South Australia), Singapore (for Western Australia), the UK (for Tasmania), New Zealand (for the NT), and the USA (for the ACT).</w:t>
      </w:r>
    </w:p>
    <w:p w14:paraId="2FF03636" w14:textId="77777777" w:rsidR="00E7664D" w:rsidRDefault="00E7664D" w:rsidP="00202344">
      <w:pPr>
        <w:pStyle w:val="ListBullet"/>
        <w:keepNext/>
        <w:numPr>
          <w:ilvl w:val="0"/>
          <w:numId w:val="0"/>
        </w:numPr>
        <w:spacing w:after="120" w:line="300" w:lineRule="atLeast"/>
        <w:rPr>
          <w:rFonts w:ascii="Verdana" w:eastAsiaTheme="minorHAnsi" w:hAnsi="Verdana"/>
          <w:color w:val="300050" w:themeColor="text2"/>
          <w:lang w:eastAsia="en-US"/>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10</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Pr>
          <w:rFonts w:ascii="Verdana" w:eastAsiaTheme="minorHAnsi" w:hAnsi="Verdana"/>
          <w:color w:val="300050" w:themeColor="text2"/>
          <w:lang w:eastAsia="en-US"/>
        </w:rPr>
        <w:t>International trips to Australia in 2024, with 5 top source markets by state/territory.</w:t>
      </w:r>
    </w:p>
    <w:p w14:paraId="2D5C7CE0" w14:textId="77777777" w:rsidR="00E7664D" w:rsidRDefault="00E7664D" w:rsidP="00202344">
      <w:pPr>
        <w:pStyle w:val="ListBullet"/>
        <w:numPr>
          <w:ilvl w:val="0"/>
          <w:numId w:val="0"/>
        </w:numPr>
        <w:spacing w:before="40" w:after="0" w:line="300" w:lineRule="atLeast"/>
      </w:pPr>
      <w:r w:rsidRPr="00591178">
        <w:rPr>
          <w:noProof/>
        </w:rPr>
        <w:drawing>
          <wp:inline distT="0" distB="0" distL="0" distR="0" wp14:anchorId="751A53CC" wp14:editId="095E3AE3">
            <wp:extent cx="6508800" cy="4705200"/>
            <wp:effectExtent l="0" t="0" r="6350" b="635"/>
            <wp:docPr id="1830228271" name="Picture 3" descr="This map of Australia reports, for each state and territory, the number of international trips in 2024, that state/territory’s share of total national international trips to Australia, and the change in number of trips in 2024 compared with 2023. For each state and territory, the top 5 source markets are listed. &#10;NSW was the state that received the most international trips in 2024 (3.8 million trips, 50% of total trips) and there was an increase of 11% in the number of international trips to NSW in 2024 compared with 202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228271" name="Picture 3" descr="This map of Australia reports, for each state and territory, the number of international trips in 2024, that state/territory’s share of total national international trips to Australia, and the change in number of trips in 2024 compared with 2023. For each state and territory, the top 5 source markets are listed. &#10;NSW was the state that received the most international trips in 2024 (3.8 million trips, 50% of total trips) and there was an increase of 11% in the number of international trips to NSW in 2024 compared with 2023.&#10;"/>
                    <pic:cNvPicPr>
                      <a:picLocks noChangeAspect="1" noChangeArrowheads="1"/>
                    </pic:cNvPicPr>
                  </pic:nvPicPr>
                  <pic:blipFill rotWithShape="1">
                    <a:blip r:embed="rId27">
                      <a:extLst>
                        <a:ext uri="{28A0092B-C50C-407E-A947-70E740481C1C}">
                          <a14:useLocalDpi xmlns:a14="http://schemas.microsoft.com/office/drawing/2010/main" val="0"/>
                        </a:ext>
                      </a:extLst>
                    </a:blip>
                    <a:srcRect l="19219" t="2500" r="4530"/>
                    <a:stretch/>
                  </pic:blipFill>
                  <pic:spPr bwMode="auto">
                    <a:xfrm>
                      <a:off x="0" y="0"/>
                      <a:ext cx="6508800" cy="4705200"/>
                    </a:xfrm>
                    <a:prstGeom prst="rect">
                      <a:avLst/>
                    </a:prstGeom>
                    <a:noFill/>
                    <a:ln>
                      <a:noFill/>
                    </a:ln>
                    <a:extLst>
                      <a:ext uri="{53640926-AAD7-44D8-BBD7-CCE9431645EC}">
                        <a14:shadowObscured xmlns:a14="http://schemas.microsoft.com/office/drawing/2010/main"/>
                      </a:ext>
                    </a:extLst>
                  </pic:spPr>
                </pic:pic>
              </a:graphicData>
            </a:graphic>
          </wp:inline>
        </w:drawing>
      </w:r>
    </w:p>
    <w:p w14:paraId="502F6D3F" w14:textId="77777777" w:rsidR="00E7664D" w:rsidRDefault="00E7664D" w:rsidP="00E7664D">
      <w:r>
        <w:lastRenderedPageBreak/>
        <w:t xml:space="preserve">Short-term international visitors to regional Australia spent $4.7 billion in 2024. This was 14% of total international visitor spend in Australia in 2024. Spend in capital cities and the Gold Coast accounted for the majority of total visitor spend in Australia (86%, or $28.2 billion). Regional Australia received a much higher share of visitor spend from holiday travellers and much lower share of spend from education travellers compared with capital cities. </w:t>
      </w:r>
    </w:p>
    <w:p w14:paraId="467EFBDA" w14:textId="77777777" w:rsidR="00E7664D" w:rsidRDefault="00E7664D" w:rsidP="00E7664D">
      <w:r>
        <w:t xml:space="preserve">International visitors to Australia made a larger contribution to tourism spend in capital cities than in regional Australia. In 2024, international visitor spend: </w:t>
      </w:r>
    </w:p>
    <w:p w14:paraId="1090BE9A" w14:textId="77777777" w:rsidR="00E7664D" w:rsidRDefault="00E7664D" w:rsidP="00086B8D">
      <w:pPr>
        <w:pStyle w:val="ListParagraph"/>
        <w:numPr>
          <w:ilvl w:val="0"/>
          <w:numId w:val="6"/>
        </w:numPr>
      </w:pPr>
      <w:r>
        <w:t xml:space="preserve">occurred mostly </w:t>
      </w:r>
      <w:r w:rsidRPr="00935083">
        <w:t xml:space="preserve">in capital cities and the Gold Coast </w:t>
      </w:r>
      <w:r>
        <w:t>(86% of total)</w:t>
      </w:r>
    </w:p>
    <w:p w14:paraId="1BECDCB5" w14:textId="77777777" w:rsidR="00E7664D" w:rsidRDefault="00E7664D" w:rsidP="00086B8D">
      <w:pPr>
        <w:pStyle w:val="ListParagraph"/>
        <w:numPr>
          <w:ilvl w:val="0"/>
          <w:numId w:val="6"/>
        </w:numPr>
      </w:pPr>
      <w:r w:rsidRPr="00935083">
        <w:t>accounted for almost 30% of total tourism spend in capital cities</w:t>
      </w:r>
    </w:p>
    <w:p w14:paraId="68DBDF86" w14:textId="77777777" w:rsidR="00E7664D" w:rsidRDefault="00E7664D" w:rsidP="00086B8D">
      <w:pPr>
        <w:pStyle w:val="ListParagraph"/>
        <w:numPr>
          <w:ilvl w:val="0"/>
          <w:numId w:val="6"/>
        </w:numPr>
      </w:pPr>
      <w:r>
        <w:t xml:space="preserve">accounted for </w:t>
      </w:r>
      <w:r w:rsidRPr="00935083">
        <w:t>only 6% of</w:t>
      </w:r>
      <w:r>
        <w:t xml:space="preserve"> total</w:t>
      </w:r>
      <w:r w:rsidRPr="00935083">
        <w:t xml:space="preserve"> tourism spend </w:t>
      </w:r>
      <w:r>
        <w:t>in regional Australia</w:t>
      </w:r>
    </w:p>
    <w:p w14:paraId="561AF45D" w14:textId="77777777" w:rsidR="00E7664D" w:rsidRDefault="00E7664D" w:rsidP="00086B8D">
      <w:pPr>
        <w:pStyle w:val="ListParagraph"/>
        <w:numPr>
          <w:ilvl w:val="0"/>
          <w:numId w:val="6"/>
        </w:numPr>
      </w:pPr>
      <w:r>
        <w:t>rose to $28.2 billion, up $4.3 billion (18%) on 2023, in capital cities</w:t>
      </w:r>
    </w:p>
    <w:p w14:paraId="631D8812" w14:textId="77777777" w:rsidR="00E7664D" w:rsidRDefault="00E7664D" w:rsidP="00086B8D">
      <w:pPr>
        <w:pStyle w:val="ListParagraph"/>
        <w:numPr>
          <w:ilvl w:val="0"/>
          <w:numId w:val="6"/>
        </w:numPr>
      </w:pPr>
      <w:r>
        <w:t xml:space="preserve">rose to </w:t>
      </w:r>
      <w:r w:rsidRPr="00935083">
        <w:t>$4.7</w:t>
      </w:r>
      <w:r>
        <w:t> </w:t>
      </w:r>
      <w:r w:rsidRPr="00935083">
        <w:t>billion</w:t>
      </w:r>
      <w:r>
        <w:t xml:space="preserve">, up </w:t>
      </w:r>
      <w:r w:rsidRPr="00935083">
        <w:t xml:space="preserve">$0.5 billion (13%) </w:t>
      </w:r>
      <w:r>
        <w:t>on</w:t>
      </w:r>
      <w:r w:rsidRPr="00935083">
        <w:t xml:space="preserve"> 2023</w:t>
      </w:r>
      <w:r>
        <w:t>, in regional Australia.</w:t>
      </w:r>
    </w:p>
    <w:p w14:paraId="5B56C2E7" w14:textId="413EC931" w:rsidR="00E7664D" w:rsidRDefault="00E7664D" w:rsidP="00E7664D">
      <w:r w:rsidRPr="00935083">
        <w:t>By purpose of trip, regional Australia received a higher share of international visitor spend from holiday</w:t>
      </w:r>
      <w:r>
        <w:t xml:space="preserve"> and employment</w:t>
      </w:r>
      <w:r w:rsidRPr="00935083">
        <w:t xml:space="preserve"> travellers compared with capital cities</w:t>
      </w:r>
      <w:r>
        <w:t xml:space="preserve"> (Figure 11)</w:t>
      </w:r>
      <w:r w:rsidRPr="00935083">
        <w:t xml:space="preserve">. Regional Australia received a lower share of visitor spend from </w:t>
      </w:r>
      <w:r>
        <w:t xml:space="preserve">education and </w:t>
      </w:r>
      <w:r w:rsidRPr="00935083">
        <w:t xml:space="preserve">business travellers than the capital cities. </w:t>
      </w:r>
    </w:p>
    <w:p w14:paraId="2A7FF774" w14:textId="77777777" w:rsidR="00E7664D" w:rsidRDefault="00E7664D" w:rsidP="00E7664D">
      <w:pPr>
        <w:pStyle w:val="ListBullet"/>
        <w:keepNext/>
        <w:numPr>
          <w:ilvl w:val="0"/>
          <w:numId w:val="0"/>
        </w:numPr>
        <w:spacing w:line="300" w:lineRule="atLeast"/>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11</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Pr>
          <w:rFonts w:ascii="Verdana" w:eastAsiaTheme="minorHAnsi" w:hAnsi="Verdana"/>
          <w:color w:val="300050" w:themeColor="text2"/>
          <w:lang w:eastAsia="en-US"/>
        </w:rPr>
        <w:t>International visitor spend in Australia in 2024 by main purpose of visit in regional Australia compared with in capital cities.</w:t>
      </w:r>
    </w:p>
    <w:p w14:paraId="0A44E753" w14:textId="77777777" w:rsidR="00E7664D" w:rsidRDefault="00E7664D" w:rsidP="00E7664D">
      <w:pPr>
        <w:spacing w:line="300" w:lineRule="atLeast"/>
        <w:jc w:val="center"/>
      </w:pPr>
      <w:r w:rsidRPr="00DE4367">
        <w:rPr>
          <w:noProof/>
        </w:rPr>
        <w:drawing>
          <wp:inline distT="0" distB="0" distL="0" distR="0" wp14:anchorId="3D911A92" wp14:editId="5072CA9D">
            <wp:extent cx="4996133" cy="3667125"/>
            <wp:effectExtent l="0" t="0" r="0" b="0"/>
            <wp:docPr id="150779266" name="Picture 5" descr="This stacked bar chart shows the contribution of each main purpose of visit to international spend in the capital cities including the Gold Coast on the left bar and in Regional Australia on the right bar. The contribution from education spend was much smaller in Regional Australia (8%) than in capital cities (40%) in 2024. The contribution from holiday spend was greater in Regional Australia (53%) than in capital cities (3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9266" name="Picture 5" descr="This stacked bar chart shows the contribution of each main purpose of visit to international spend in the capital cities including the Gold Coast on the left bar and in Regional Australia on the right bar. The contribution from education spend was much smaller in Regional Australia (8%) than in capital cities (40%) in 2024. The contribution from holiday spend was greater in Regional Australia (53%) than in capital cities (30%) in 2024."/>
                    <pic:cNvPicPr>
                      <a:picLocks noChangeAspect="1" noChangeArrowheads="1"/>
                    </pic:cNvPicPr>
                  </pic:nvPicPr>
                  <pic:blipFill rotWithShape="1">
                    <a:blip r:embed="rId28">
                      <a:extLst>
                        <a:ext uri="{28A0092B-C50C-407E-A947-70E740481C1C}">
                          <a14:useLocalDpi xmlns:a14="http://schemas.microsoft.com/office/drawing/2010/main" val="0"/>
                        </a:ext>
                      </a:extLst>
                    </a:blip>
                    <a:srcRect l="46250" t="22500" r="2500" b="7222"/>
                    <a:stretch/>
                  </pic:blipFill>
                  <pic:spPr bwMode="auto">
                    <a:xfrm>
                      <a:off x="0" y="0"/>
                      <a:ext cx="4999740" cy="3669773"/>
                    </a:xfrm>
                    <a:prstGeom prst="rect">
                      <a:avLst/>
                    </a:prstGeom>
                    <a:noFill/>
                    <a:ln>
                      <a:noFill/>
                    </a:ln>
                    <a:extLst>
                      <a:ext uri="{53640926-AAD7-44D8-BBD7-CCE9431645EC}">
                        <a14:shadowObscured xmlns:a14="http://schemas.microsoft.com/office/drawing/2010/main"/>
                      </a:ext>
                    </a:extLst>
                  </pic:spPr>
                </pic:pic>
              </a:graphicData>
            </a:graphic>
          </wp:inline>
        </w:drawing>
      </w:r>
    </w:p>
    <w:p w14:paraId="661EAAFA" w14:textId="77777777" w:rsidR="00A26778" w:rsidRDefault="00E7664D" w:rsidP="00A26778">
      <w:pPr>
        <w:rPr>
          <w:lang w:eastAsia="zh-CN"/>
        </w:rPr>
      </w:pPr>
      <w:r w:rsidRPr="00935083">
        <w:t xml:space="preserve">International business travel occurred predominantly in the capital cities. Only 16% of international business trips in 2024 visited regional Australia, and less than 10% of international business spend occurred in the regions. </w:t>
      </w:r>
      <w:r>
        <w:t xml:space="preserve">In contrast, more than half of domestic business trips visited the regions. </w:t>
      </w:r>
      <w:r w:rsidRPr="00935083">
        <w:t>By comparison 57% of domestic business trips visited regional Australia and 44% of domestic spend occurred in the regions in 2024 (and 64% of business nights occurred in the regions).</w:t>
      </w:r>
    </w:p>
    <w:p w14:paraId="41922817" w14:textId="77777777" w:rsidR="00A26778" w:rsidRPr="00E927C5" w:rsidRDefault="00A26778" w:rsidP="00A26778">
      <w:pPr>
        <w:spacing w:after="240" w:line="380" w:lineRule="atLeast"/>
        <w:ind w:left="567" w:right="45"/>
        <w:rPr>
          <w:color w:val="893B94" w:themeColor="accent1"/>
          <w:sz w:val="28"/>
          <w:szCs w:val="28"/>
          <w:lang w:eastAsia="zh-CN"/>
        </w:rPr>
      </w:pPr>
      <w:r w:rsidRPr="00E927C5">
        <w:rPr>
          <w:color w:val="893B94" w:themeColor="accent1"/>
          <w:sz w:val="28"/>
          <w:szCs w:val="28"/>
          <w:lang w:eastAsia="zh-CN"/>
        </w:rPr>
        <w:lastRenderedPageBreak/>
        <w:t xml:space="preserve">Case study: </w:t>
      </w:r>
      <w:r>
        <w:rPr>
          <w:color w:val="893B94" w:themeColor="accent1"/>
          <w:sz w:val="28"/>
          <w:szCs w:val="28"/>
          <w:lang w:eastAsia="zh-CN"/>
        </w:rPr>
        <w:t>Culture, adventure</w:t>
      </w:r>
      <w:r w:rsidRPr="00E927C5">
        <w:rPr>
          <w:color w:val="893B94" w:themeColor="accent1"/>
          <w:sz w:val="28"/>
          <w:szCs w:val="28"/>
          <w:lang w:eastAsia="zh-CN"/>
        </w:rPr>
        <w:t xml:space="preserve"> and tourism – 100% Finke River Culture and Adventure</w:t>
      </w:r>
    </w:p>
    <w:p w14:paraId="1F18CA15" w14:textId="77777777" w:rsidR="00A26778" w:rsidRPr="00DE1658" w:rsidRDefault="00A26778" w:rsidP="00A26778">
      <w:pPr>
        <w:ind w:left="567" w:right="45"/>
        <w:rPr>
          <w:lang w:eastAsia="zh-CN"/>
        </w:rPr>
      </w:pPr>
      <w:r w:rsidRPr="00DE1658">
        <w:rPr>
          <w:lang w:eastAsia="zh-CN"/>
        </w:rPr>
        <w:t xml:space="preserve">The Northern Territory’s First Nations-owned tourism sector continues to grow, delivering culturally appropriate, educational and sustainable tourism operations. </w:t>
      </w:r>
    </w:p>
    <w:p w14:paraId="150D454C" w14:textId="77777777" w:rsidR="00A26778" w:rsidRPr="00DE1658" w:rsidRDefault="00A26778" w:rsidP="00A26778">
      <w:pPr>
        <w:ind w:left="567" w:right="45"/>
        <w:rPr>
          <w:lang w:eastAsia="zh-CN"/>
        </w:rPr>
      </w:pPr>
      <w:r w:rsidRPr="00DE1658">
        <w:rPr>
          <w:lang w:eastAsia="zh-CN"/>
        </w:rPr>
        <w:t xml:space="preserve">The Department of Tourism and Hospitality seeks to sustainably manage natural assets, balancing visitor access with safety and biodiversity, promoting sustainable tourism, supporting wildlife preservation, and preventing degradation. A key departmental goal is to collaborate with Traditional Owners and Aboriginal communities to support aspirations for participation and economic development via respectful sharing of land and culture. </w:t>
      </w:r>
    </w:p>
    <w:p w14:paraId="39283AE5" w14:textId="77777777" w:rsidR="00A26778" w:rsidRPr="00DE1658" w:rsidRDefault="00A26778" w:rsidP="00A26778">
      <w:pPr>
        <w:ind w:left="567" w:right="45"/>
        <w:rPr>
          <w:lang w:eastAsia="zh-CN"/>
        </w:rPr>
      </w:pPr>
      <w:r w:rsidRPr="00DE1658">
        <w:rPr>
          <w:lang w:eastAsia="zh-CN"/>
        </w:rPr>
        <w:t xml:space="preserve">First Nations-owned 100% Finke River Culture and Adventure offers immersive cultural experiences lead by Aboriginal guides to provide visitors to Central Australia and the West MacDonnell Ranges an understanding of country and cultural heritage. With its passion for enabling local Aboriginal people access to meaningful employment and opportunities to work on country, it showcases the resilience and community spirit of the tourism industry in Central Australia with their focus on community benefit and sustainable First Nations employment, supporting the growth and distribution of cultural tours to a wider audience of domestic and international visitors, school groups and visitors on The Ghan. </w:t>
      </w:r>
    </w:p>
    <w:p w14:paraId="57682534" w14:textId="77777777" w:rsidR="00A26778" w:rsidRPr="00E927C5" w:rsidRDefault="00A26778" w:rsidP="00A26778">
      <w:pPr>
        <w:ind w:left="567" w:right="45"/>
        <w:rPr>
          <w:lang w:eastAsia="zh-CN"/>
        </w:rPr>
      </w:pPr>
      <w:r w:rsidRPr="00DE1658">
        <w:rPr>
          <w:lang w:eastAsia="zh-CN"/>
        </w:rPr>
        <w:t>In 2025, Intrepid Travel Group is partnering with 100% Finke Culture and Adventures to offer Intrepid’s first-ever First Nations guided Larapinta Trail experience through the majestic West MacDonnell Ranges, which will support the further development of First Nations tour guides and cultural tourism in Central Australia.</w:t>
      </w:r>
    </w:p>
    <w:p w14:paraId="516816B4" w14:textId="54368C98" w:rsidR="00A26778" w:rsidRPr="00E927C5" w:rsidRDefault="00A26778" w:rsidP="00A26778">
      <w:pPr>
        <w:spacing w:after="240" w:line="380" w:lineRule="atLeast"/>
        <w:ind w:left="567" w:right="45"/>
        <w:rPr>
          <w:color w:val="893B94" w:themeColor="accent1"/>
          <w:sz w:val="28"/>
          <w:szCs w:val="28"/>
          <w:lang w:eastAsia="zh-CN"/>
        </w:rPr>
      </w:pPr>
      <w:r w:rsidRPr="00E927C5">
        <w:rPr>
          <w:color w:val="893B94" w:themeColor="accent1"/>
          <w:sz w:val="28"/>
          <w:szCs w:val="28"/>
          <w:lang w:eastAsia="zh-CN"/>
        </w:rPr>
        <w:t xml:space="preserve">Case study provided by </w:t>
      </w:r>
      <w:r w:rsidR="00537022">
        <w:rPr>
          <w:color w:val="893B94" w:themeColor="accent1"/>
          <w:sz w:val="28"/>
          <w:szCs w:val="28"/>
          <w:lang w:eastAsia="zh-CN"/>
        </w:rPr>
        <w:t xml:space="preserve">Department of </w:t>
      </w:r>
      <w:r w:rsidRPr="00E927C5">
        <w:rPr>
          <w:color w:val="893B94" w:themeColor="accent1"/>
          <w:sz w:val="28"/>
          <w:szCs w:val="28"/>
          <w:lang w:eastAsia="zh-CN"/>
        </w:rPr>
        <w:t xml:space="preserve">Tourism </w:t>
      </w:r>
      <w:r w:rsidR="00537022">
        <w:rPr>
          <w:color w:val="893B94" w:themeColor="accent1"/>
          <w:sz w:val="28"/>
          <w:szCs w:val="28"/>
          <w:lang w:eastAsia="zh-CN"/>
        </w:rPr>
        <w:t>&amp; Hospitality (</w:t>
      </w:r>
      <w:r>
        <w:rPr>
          <w:color w:val="893B94" w:themeColor="accent1"/>
          <w:sz w:val="28"/>
          <w:szCs w:val="28"/>
          <w:lang w:eastAsia="zh-CN"/>
        </w:rPr>
        <w:t>NT</w:t>
      </w:r>
      <w:r w:rsidR="00537022">
        <w:rPr>
          <w:color w:val="893B94" w:themeColor="accent1"/>
          <w:sz w:val="28"/>
          <w:szCs w:val="28"/>
          <w:lang w:eastAsia="zh-CN"/>
        </w:rPr>
        <w:t>)</w:t>
      </w:r>
    </w:p>
    <w:p w14:paraId="106B07E3" w14:textId="213BD6ED" w:rsidR="00E7664D" w:rsidRPr="00935083" w:rsidRDefault="00E7664D" w:rsidP="00E7664D"/>
    <w:p w14:paraId="780723E6" w14:textId="35CBD572" w:rsidR="00CE7B0E" w:rsidRDefault="00CE7B0E" w:rsidP="00CE7B0E">
      <w:pPr>
        <w:pStyle w:val="Heading4"/>
        <w:rPr>
          <w:lang w:eastAsia="zh-CN"/>
        </w:rPr>
      </w:pPr>
      <w:r>
        <w:rPr>
          <w:lang w:eastAsia="zh-CN"/>
        </w:rPr>
        <w:t xml:space="preserve">International holiday trips </w:t>
      </w:r>
    </w:p>
    <w:p w14:paraId="3638F44F" w14:textId="7369F766" w:rsidR="004E7CBE" w:rsidRDefault="00DC5011" w:rsidP="009C2401">
      <w:pPr>
        <w:spacing w:line="300" w:lineRule="atLeast"/>
        <w:rPr>
          <w:lang w:eastAsia="zh-CN"/>
        </w:rPr>
      </w:pPr>
      <w:r>
        <w:rPr>
          <w:lang w:eastAsia="zh-CN"/>
        </w:rPr>
        <w:t xml:space="preserve">International holiday spend </w:t>
      </w:r>
      <w:r w:rsidR="00F175AF">
        <w:rPr>
          <w:lang w:eastAsia="zh-CN"/>
        </w:rPr>
        <w:t xml:space="preserve">in Australia </w:t>
      </w:r>
      <w:r>
        <w:rPr>
          <w:lang w:eastAsia="zh-CN"/>
        </w:rPr>
        <w:t xml:space="preserve">totalled $11 billion in 2024. </w:t>
      </w:r>
      <w:r w:rsidR="00F71A08">
        <w:rPr>
          <w:lang w:eastAsia="zh-CN"/>
        </w:rPr>
        <w:t>The top 5 holiday source markets were more evenly distributed</w:t>
      </w:r>
      <w:r w:rsidR="00C0240D">
        <w:rPr>
          <w:lang w:eastAsia="zh-CN"/>
        </w:rPr>
        <w:t xml:space="preserve"> than was the case for education. Australia’s top 5 holiday source markets in 2024 were: China ($1.1 billion), the United States of America ($1.1 billion), South Korea ($1.0 billion), </w:t>
      </w:r>
      <w:r w:rsidR="00A36FAF">
        <w:rPr>
          <w:lang w:eastAsia="zh-CN"/>
        </w:rPr>
        <w:t xml:space="preserve">New Zealand ($1.0 billion) and </w:t>
      </w:r>
      <w:r w:rsidR="00C0240D">
        <w:rPr>
          <w:lang w:eastAsia="zh-CN"/>
        </w:rPr>
        <w:t>the United Kingdom ($1.0 billion)</w:t>
      </w:r>
      <w:r w:rsidR="00A36FAF">
        <w:rPr>
          <w:lang w:eastAsia="zh-CN"/>
        </w:rPr>
        <w:t>.</w:t>
      </w:r>
      <w:r w:rsidR="00F22D82">
        <w:rPr>
          <w:lang w:eastAsia="zh-CN"/>
        </w:rPr>
        <w:t xml:space="preserve"> The source markets </w:t>
      </w:r>
      <w:r w:rsidR="00525774">
        <w:rPr>
          <w:lang w:eastAsia="zh-CN"/>
        </w:rPr>
        <w:t>that contributed the most to growth in holiday spend</w:t>
      </w:r>
      <w:r w:rsidR="00C0240D">
        <w:rPr>
          <w:lang w:eastAsia="zh-CN"/>
        </w:rPr>
        <w:t xml:space="preserve"> </w:t>
      </w:r>
      <w:r w:rsidR="00525774">
        <w:rPr>
          <w:lang w:eastAsia="zh-CN"/>
        </w:rPr>
        <w:t>from 2023 to 2024 were (in order)</w:t>
      </w:r>
      <w:r w:rsidR="00EA05D3">
        <w:rPr>
          <w:lang w:eastAsia="zh-CN"/>
        </w:rPr>
        <w:t>:</w:t>
      </w:r>
      <w:r w:rsidR="00525774">
        <w:rPr>
          <w:lang w:eastAsia="zh-CN"/>
        </w:rPr>
        <w:t xml:space="preserve"> China, South Korea, Taiwan, </w:t>
      </w:r>
      <w:r w:rsidR="00464D21">
        <w:rPr>
          <w:lang w:eastAsia="zh-CN"/>
        </w:rPr>
        <w:t>Japan, the UK</w:t>
      </w:r>
      <w:r w:rsidR="00EA05D3">
        <w:rPr>
          <w:lang w:eastAsia="zh-CN"/>
        </w:rPr>
        <w:t>,</w:t>
      </w:r>
      <w:r w:rsidR="00464D21">
        <w:rPr>
          <w:lang w:eastAsia="zh-CN"/>
        </w:rPr>
        <w:t xml:space="preserve"> USA and Italy. </w:t>
      </w:r>
      <w:r w:rsidR="008466AD">
        <w:rPr>
          <w:lang w:eastAsia="zh-CN"/>
        </w:rPr>
        <w:t xml:space="preserve">Only a few markets saw a decrease in holiday spend in 2024 including </w:t>
      </w:r>
      <w:r w:rsidR="00555EF0">
        <w:rPr>
          <w:lang w:eastAsia="zh-CN"/>
        </w:rPr>
        <w:t>Germany, Switzerland and the Netherlands.</w:t>
      </w:r>
      <w:r w:rsidR="00BA6CC5">
        <w:rPr>
          <w:lang w:eastAsia="zh-CN"/>
        </w:rPr>
        <w:t xml:space="preserve"> </w:t>
      </w:r>
    </w:p>
    <w:p w14:paraId="2DCCD76D" w14:textId="72E0B02C" w:rsidR="004E7CBE" w:rsidRDefault="00680137" w:rsidP="004E7CBE">
      <w:pPr>
        <w:rPr>
          <w:lang w:eastAsia="zh-CN"/>
        </w:rPr>
      </w:pPr>
      <w:r>
        <w:rPr>
          <w:lang w:eastAsia="zh-CN"/>
        </w:rPr>
        <w:t>The increase in international holiday spend in 2024 was shared across a</w:t>
      </w:r>
      <w:r w:rsidR="00A349CD">
        <w:rPr>
          <w:lang w:eastAsia="zh-CN"/>
        </w:rPr>
        <w:t>ll</w:t>
      </w:r>
      <w:r w:rsidR="004E7CBE">
        <w:rPr>
          <w:lang w:eastAsia="zh-CN"/>
        </w:rPr>
        <w:t xml:space="preserve"> categor</w:t>
      </w:r>
      <w:r w:rsidR="00A349CD">
        <w:rPr>
          <w:lang w:eastAsia="zh-CN"/>
        </w:rPr>
        <w:t>ies</w:t>
      </w:r>
      <w:r w:rsidR="001452D9">
        <w:rPr>
          <w:lang w:eastAsia="zh-CN"/>
        </w:rPr>
        <w:t xml:space="preserve"> (Figure </w:t>
      </w:r>
      <w:r w:rsidR="00CB6B4C">
        <w:rPr>
          <w:lang w:eastAsia="zh-CN"/>
        </w:rPr>
        <w:t>10</w:t>
      </w:r>
      <w:r w:rsidR="001452D9">
        <w:rPr>
          <w:lang w:eastAsia="zh-CN"/>
        </w:rPr>
        <w:t xml:space="preserve">). The largest increases in spend occurred for </w:t>
      </w:r>
      <w:r w:rsidR="00CB6B4C">
        <w:rPr>
          <w:lang w:eastAsia="zh-CN"/>
        </w:rPr>
        <w:t xml:space="preserve">education </w:t>
      </w:r>
      <w:r w:rsidR="006E18FE">
        <w:rPr>
          <w:lang w:eastAsia="zh-CN"/>
        </w:rPr>
        <w:t xml:space="preserve">spend (up 117%), </w:t>
      </w:r>
      <w:r w:rsidR="001452D9">
        <w:rPr>
          <w:lang w:eastAsia="zh-CN"/>
        </w:rPr>
        <w:t>accommodation</w:t>
      </w:r>
      <w:r w:rsidR="00854D49">
        <w:rPr>
          <w:lang w:eastAsia="zh-CN"/>
        </w:rPr>
        <w:t xml:space="preserve"> (up </w:t>
      </w:r>
      <w:r w:rsidR="006E18FE">
        <w:rPr>
          <w:lang w:eastAsia="zh-CN"/>
        </w:rPr>
        <w:t>38</w:t>
      </w:r>
      <w:r w:rsidR="00854D49">
        <w:rPr>
          <w:lang w:eastAsia="zh-CN"/>
        </w:rPr>
        <w:t>%)</w:t>
      </w:r>
      <w:r w:rsidR="008A4DB0">
        <w:rPr>
          <w:lang w:eastAsia="zh-CN"/>
        </w:rPr>
        <w:t>,</w:t>
      </w:r>
      <w:r w:rsidR="001452D9">
        <w:rPr>
          <w:lang w:eastAsia="zh-CN"/>
        </w:rPr>
        <w:t xml:space="preserve"> </w:t>
      </w:r>
      <w:r w:rsidR="006E18FE">
        <w:rPr>
          <w:lang w:eastAsia="zh-CN"/>
        </w:rPr>
        <w:t xml:space="preserve">tours </w:t>
      </w:r>
      <w:r w:rsidR="008A4DB0">
        <w:rPr>
          <w:lang w:eastAsia="zh-CN"/>
        </w:rPr>
        <w:t xml:space="preserve">(up 35%) and shopping (up 31%). </w:t>
      </w:r>
      <w:r w:rsidR="00CA62B5">
        <w:rPr>
          <w:lang w:eastAsia="zh-CN"/>
        </w:rPr>
        <w:t xml:space="preserve">The strong increases in </w:t>
      </w:r>
      <w:r w:rsidR="00C85FFB">
        <w:rPr>
          <w:lang w:eastAsia="zh-CN"/>
        </w:rPr>
        <w:t>international holiday spend on categories such as shopping</w:t>
      </w:r>
      <w:r w:rsidR="00854D49">
        <w:rPr>
          <w:lang w:eastAsia="zh-CN"/>
        </w:rPr>
        <w:t xml:space="preserve"> </w:t>
      </w:r>
      <w:r w:rsidR="00CA62B5">
        <w:rPr>
          <w:lang w:eastAsia="zh-CN"/>
        </w:rPr>
        <w:t xml:space="preserve">and </w:t>
      </w:r>
      <w:r w:rsidR="00C85FFB">
        <w:rPr>
          <w:lang w:eastAsia="zh-CN"/>
        </w:rPr>
        <w:t>tours</w:t>
      </w:r>
      <w:r w:rsidR="00854D49">
        <w:rPr>
          <w:lang w:eastAsia="zh-CN"/>
        </w:rPr>
        <w:t xml:space="preserve"> </w:t>
      </w:r>
      <w:r w:rsidR="007419DB">
        <w:rPr>
          <w:lang w:eastAsia="zh-CN"/>
        </w:rPr>
        <w:t>contrasted with</w:t>
      </w:r>
      <w:r w:rsidR="00CA62B5">
        <w:rPr>
          <w:lang w:eastAsia="zh-CN"/>
        </w:rPr>
        <w:t xml:space="preserve"> domestic holiday spend, where spend on those categories declined in 2024</w:t>
      </w:r>
      <w:r w:rsidR="00C85FFB">
        <w:rPr>
          <w:lang w:eastAsia="zh-CN"/>
        </w:rPr>
        <w:t xml:space="preserve">. </w:t>
      </w:r>
      <w:r w:rsidR="0041178F">
        <w:rPr>
          <w:lang w:eastAsia="zh-CN"/>
        </w:rPr>
        <w:t xml:space="preserve">Education spend accounted for less than 3% of total international holiday spend in 2024, </w:t>
      </w:r>
      <w:r w:rsidR="002F0E06">
        <w:rPr>
          <w:lang w:eastAsia="zh-CN"/>
        </w:rPr>
        <w:t xml:space="preserve">therefore, despite the rapid growth, increased education spending only contributed 2 percentage points to the growth in international </w:t>
      </w:r>
      <w:r w:rsidR="00CA5A6B">
        <w:rPr>
          <w:lang w:eastAsia="zh-CN"/>
        </w:rPr>
        <w:t>holiday</w:t>
      </w:r>
      <w:r w:rsidR="002F0E06">
        <w:rPr>
          <w:lang w:eastAsia="zh-CN"/>
        </w:rPr>
        <w:t xml:space="preserve"> spend in 2024</w:t>
      </w:r>
      <w:r w:rsidR="00CA5A6B">
        <w:rPr>
          <w:lang w:eastAsia="zh-CN"/>
        </w:rPr>
        <w:t>, while the growth in accommodation spend contributed 10 percentage points and was the largest contributor to growth</w:t>
      </w:r>
      <w:r w:rsidR="00B06F17">
        <w:rPr>
          <w:lang w:eastAsia="zh-CN"/>
        </w:rPr>
        <w:t>.</w:t>
      </w:r>
      <w:r w:rsidR="002F0E06">
        <w:rPr>
          <w:lang w:eastAsia="zh-CN"/>
        </w:rPr>
        <w:t xml:space="preserve"> </w:t>
      </w:r>
    </w:p>
    <w:p w14:paraId="26714AD0" w14:textId="1FA60354" w:rsidR="004E7CBE" w:rsidRDefault="004E7CBE" w:rsidP="004E7CBE">
      <w:pPr>
        <w:pStyle w:val="ListBullet"/>
        <w:keepNext/>
        <w:numPr>
          <w:ilvl w:val="0"/>
          <w:numId w:val="0"/>
        </w:numPr>
        <w:spacing w:line="300" w:lineRule="atLeast"/>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CB6B4C">
        <w:rPr>
          <w:rFonts w:ascii="Verdana" w:eastAsiaTheme="minorHAnsi" w:hAnsi="Verdana"/>
          <w:b/>
          <w:bCs/>
          <w:noProof/>
          <w:color w:val="300050" w:themeColor="text2"/>
          <w:lang w:eastAsia="en-US"/>
        </w:rPr>
        <w:t>10</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Pr="00F9326C">
        <w:rPr>
          <w:rFonts w:ascii="Verdana" w:eastAsiaTheme="minorHAnsi" w:hAnsi="Verdana"/>
          <w:color w:val="300050" w:themeColor="text2"/>
          <w:lang w:eastAsia="en-US"/>
        </w:rPr>
        <w:t xml:space="preserve">Change in </w:t>
      </w:r>
      <w:r>
        <w:rPr>
          <w:rFonts w:ascii="Verdana" w:eastAsiaTheme="minorHAnsi" w:hAnsi="Verdana"/>
          <w:color w:val="300050" w:themeColor="text2"/>
          <w:lang w:eastAsia="en-US"/>
        </w:rPr>
        <w:t>spend on international holiday trips by category in Australia in 2024 compared with 2023.</w:t>
      </w:r>
    </w:p>
    <w:p w14:paraId="634FDBB6" w14:textId="65FF6CE2" w:rsidR="004E7CBE" w:rsidRDefault="00CB6B4C" w:rsidP="004E7CBE">
      <w:pPr>
        <w:spacing w:line="240" w:lineRule="atLeast"/>
        <w:jc w:val="center"/>
        <w:rPr>
          <w:lang w:eastAsia="zh-CN"/>
        </w:rPr>
      </w:pPr>
      <w:r w:rsidRPr="00CB6B4C">
        <w:rPr>
          <w:noProof/>
        </w:rPr>
        <w:drawing>
          <wp:inline distT="0" distB="0" distL="0" distR="0" wp14:anchorId="5EEEBB87" wp14:editId="20B92D5A">
            <wp:extent cx="4820400" cy="3164400"/>
            <wp:effectExtent l="0" t="0" r="0" b="0"/>
            <wp:docPr id="83724503" name="Picture 1" descr="This bar chart shows the change in spend on international holiday trips by category of spend between 2023 and 2024 (as a %). There was an increase in spending on all categories in 2024 and total spend on international holiday trips increased by 31% compared with 2023. The strongest growth occurred in spending on education (+117%), accommodation (+38%), tours (+35%), shopping (+31%) and food and drink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4503" name="Picture 1" descr="This bar chart shows the change in spend on international holiday trips by category of spend between 2023 and 2024 (as a %). There was an increase in spending on all categories in 2024 and total spend on international holiday trips increased by 31% compared with 2023. The strongest growth occurred in spending on education (+117%), accommodation (+38%), tours (+35%), shopping (+31%) and food and drinks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0400" cy="3164400"/>
                    </a:xfrm>
                    <a:prstGeom prst="rect">
                      <a:avLst/>
                    </a:prstGeom>
                    <a:noFill/>
                    <a:ln>
                      <a:noFill/>
                    </a:ln>
                  </pic:spPr>
                </pic:pic>
              </a:graphicData>
            </a:graphic>
          </wp:inline>
        </w:drawing>
      </w:r>
    </w:p>
    <w:p w14:paraId="68997271" w14:textId="3084FB18" w:rsidR="00216985" w:rsidRDefault="00216985" w:rsidP="00216985">
      <w:r>
        <w:t>By traveller numbers, New Zealand was Australia’s largest international holiday market in 2024</w:t>
      </w:r>
      <w:r w:rsidR="0054005A">
        <w:t xml:space="preserve">, followed by the USA (Table 3). </w:t>
      </w:r>
    </w:p>
    <w:p w14:paraId="6A69AC02" w14:textId="0C94D47E" w:rsidR="0054005A" w:rsidRDefault="0054005A" w:rsidP="00216985">
      <w:pPr>
        <w:rPr>
          <w:lang w:eastAsia="zh-CN"/>
        </w:rPr>
      </w:pPr>
      <w:r>
        <w:rPr>
          <w:lang w:eastAsia="zh-CN"/>
        </w:rPr>
        <w:t xml:space="preserve">Holiday travellers from Hong Kong and Singapore recorded the highest average spend per night. New Zealand and the USA also had a much higher average spend per night, and all 4 of these countries had a much shorter than average </w:t>
      </w:r>
      <w:r w:rsidR="00B6609B">
        <w:rPr>
          <w:lang w:eastAsia="zh-CN"/>
        </w:rPr>
        <w:t>length</w:t>
      </w:r>
      <w:r>
        <w:rPr>
          <w:lang w:eastAsia="zh-CN"/>
        </w:rPr>
        <w:t xml:space="preserve"> of stay in Australia. </w:t>
      </w:r>
    </w:p>
    <w:p w14:paraId="55D20DC9" w14:textId="6E9516D2" w:rsidR="00C73AD6" w:rsidRPr="000E0B97" w:rsidRDefault="00C73AD6" w:rsidP="00C73AD6">
      <w:pPr>
        <w:pStyle w:val="ListBullet"/>
        <w:keepNext/>
        <w:numPr>
          <w:ilvl w:val="0"/>
          <w:numId w:val="0"/>
        </w:numPr>
        <w:spacing w:after="120" w:line="300" w:lineRule="atLeast"/>
        <w:rPr>
          <w:rFonts w:ascii="Verdana" w:eastAsiaTheme="minorHAnsi" w:hAnsi="Verdana"/>
          <w:b/>
          <w:bCs/>
          <w:color w:val="300050" w:themeColor="text2"/>
          <w:lang w:eastAsia="en-US"/>
        </w:rPr>
      </w:pPr>
      <w:r w:rsidRPr="000E0B97">
        <w:rPr>
          <w:rFonts w:ascii="Verdana" w:eastAsiaTheme="minorHAnsi" w:hAnsi="Verdana"/>
          <w:b/>
          <w:bCs/>
          <w:color w:val="300050" w:themeColor="text2"/>
          <w:lang w:eastAsia="en-US"/>
        </w:rPr>
        <w:t>Table</w:t>
      </w:r>
      <w:r>
        <w:rPr>
          <w:rFonts w:ascii="Verdana" w:eastAsiaTheme="minorHAnsi" w:hAnsi="Verdana"/>
          <w:b/>
          <w:bCs/>
          <w:color w:val="300050" w:themeColor="text2"/>
          <w:lang w:eastAsia="en-US"/>
        </w:rPr>
        <w:t xml:space="preserve"> 3</w:t>
      </w:r>
      <w:r w:rsidRPr="000E0B97">
        <w:rPr>
          <w:rFonts w:ascii="Verdana" w:eastAsiaTheme="minorHAnsi" w:hAnsi="Verdana"/>
          <w:b/>
          <w:bCs/>
          <w:color w:val="300050" w:themeColor="text2"/>
          <w:lang w:eastAsia="en-US"/>
        </w:rPr>
        <w:t xml:space="preserve">: </w:t>
      </w:r>
      <w:r>
        <w:rPr>
          <w:rFonts w:ascii="Verdana" w:eastAsiaTheme="minorHAnsi" w:hAnsi="Verdana"/>
          <w:color w:val="300050" w:themeColor="text2"/>
          <w:lang w:eastAsia="en-US"/>
        </w:rPr>
        <w:t>International</w:t>
      </w:r>
      <w:r w:rsidRPr="000E0B97">
        <w:rPr>
          <w:rFonts w:ascii="Verdana" w:eastAsiaTheme="minorHAnsi" w:hAnsi="Verdana"/>
          <w:color w:val="300050" w:themeColor="text2"/>
          <w:lang w:eastAsia="en-US"/>
        </w:rPr>
        <w:t xml:space="preserve"> </w:t>
      </w:r>
      <w:r w:rsidRPr="003E1ADE">
        <w:rPr>
          <w:rFonts w:ascii="Verdana" w:eastAsiaTheme="minorHAnsi" w:hAnsi="Verdana"/>
          <w:b/>
          <w:bCs/>
          <w:color w:val="300050" w:themeColor="text2"/>
          <w:lang w:eastAsia="en-US"/>
        </w:rPr>
        <w:t>holiday</w:t>
      </w:r>
      <w:r>
        <w:rPr>
          <w:rFonts w:ascii="Verdana" w:eastAsiaTheme="minorHAnsi" w:hAnsi="Verdana"/>
          <w:color w:val="300050" w:themeColor="text2"/>
          <w:lang w:eastAsia="en-US"/>
        </w:rPr>
        <w:t xml:space="preserve"> </w:t>
      </w:r>
      <w:r w:rsidRPr="000E0B97">
        <w:rPr>
          <w:rFonts w:ascii="Verdana" w:eastAsiaTheme="minorHAnsi" w:hAnsi="Verdana"/>
          <w:color w:val="300050" w:themeColor="text2"/>
          <w:lang w:eastAsia="en-US"/>
        </w:rPr>
        <w:t xml:space="preserve">trip characteristics by </w:t>
      </w:r>
      <w:r>
        <w:rPr>
          <w:rFonts w:ascii="Verdana" w:eastAsiaTheme="minorHAnsi" w:hAnsi="Verdana"/>
          <w:color w:val="300050" w:themeColor="text2"/>
          <w:lang w:eastAsia="en-US"/>
        </w:rPr>
        <w:t>source market</w:t>
      </w:r>
      <w:r w:rsidRPr="000E0B97">
        <w:rPr>
          <w:rFonts w:ascii="Verdana" w:eastAsiaTheme="minorHAnsi" w:hAnsi="Verdana"/>
          <w:color w:val="300050" w:themeColor="text2"/>
          <w:lang w:eastAsia="en-US"/>
        </w:rPr>
        <w:t xml:space="preserve"> in Australia in 2024.</w:t>
      </w:r>
    </w:p>
    <w:tbl>
      <w:tblPr>
        <w:tblStyle w:val="TableGrid"/>
        <w:tblW w:w="5000" w:type="pct"/>
        <w:tblLook w:val="04A0" w:firstRow="1" w:lastRow="0" w:firstColumn="1" w:lastColumn="0" w:noHBand="0" w:noVBand="1"/>
        <w:tblCaption w:val="International holiday trip characteristics by source market in Australia in 2024"/>
        <w:tblDescription w:val="Table shows the following information for each of Australia's top 20 source markets in 2024 and for the total: number of holiday trips to Australia in 2024, spend per trip, nights per trip and spend per night for that source market in 2024."/>
      </w:tblPr>
      <w:tblGrid>
        <w:gridCol w:w="2117"/>
        <w:gridCol w:w="2121"/>
        <w:gridCol w:w="1794"/>
        <w:gridCol w:w="1964"/>
        <w:gridCol w:w="1962"/>
      </w:tblGrid>
      <w:tr w:rsidR="00CA7411" w:rsidRPr="003A58AB" w14:paraId="5462615B" w14:textId="0E6ECCE0" w:rsidTr="00CA7411">
        <w:trPr>
          <w:trHeight w:val="1287"/>
          <w:tblHeader/>
        </w:trPr>
        <w:tc>
          <w:tcPr>
            <w:tcW w:w="1063" w:type="pct"/>
            <w:shd w:val="clear" w:color="auto" w:fill="300050" w:themeFill="text2"/>
            <w:vAlign w:val="center"/>
          </w:tcPr>
          <w:p w14:paraId="7667BD9F" w14:textId="3518F7A8" w:rsidR="00CA7411" w:rsidRPr="003A58AB" w:rsidRDefault="00CA7411" w:rsidP="00606094">
            <w:pPr>
              <w:spacing w:before="0" w:after="120" w:line="240" w:lineRule="auto"/>
              <w:rPr>
                <w:b/>
                <w:color w:val="FFFFFF" w:themeColor="background1"/>
              </w:rPr>
            </w:pPr>
            <w:r>
              <w:rPr>
                <w:b/>
                <w:color w:val="FFFFFF" w:themeColor="background1"/>
              </w:rPr>
              <w:t>Source market</w:t>
            </w:r>
          </w:p>
        </w:tc>
        <w:tc>
          <w:tcPr>
            <w:tcW w:w="1065" w:type="pct"/>
            <w:shd w:val="clear" w:color="auto" w:fill="300050" w:themeFill="text2"/>
            <w:vAlign w:val="center"/>
          </w:tcPr>
          <w:p w14:paraId="3C7471D7" w14:textId="77777777" w:rsidR="00CA7411" w:rsidRDefault="00CA7411" w:rsidP="00606094">
            <w:pPr>
              <w:spacing w:before="0" w:after="120" w:line="240" w:lineRule="auto"/>
              <w:jc w:val="center"/>
              <w:rPr>
                <w:b/>
                <w:color w:val="FFFFFF" w:themeColor="background1"/>
              </w:rPr>
            </w:pPr>
            <w:r>
              <w:rPr>
                <w:b/>
                <w:color w:val="FFFFFF" w:themeColor="background1"/>
              </w:rPr>
              <w:t>Number of trips to Australia</w:t>
            </w:r>
          </w:p>
          <w:p w14:paraId="0AAD290B" w14:textId="1AFCC0C1" w:rsidR="00CA7411" w:rsidRDefault="00CA7411" w:rsidP="00606094">
            <w:pPr>
              <w:spacing w:before="0" w:after="120" w:line="240" w:lineRule="auto"/>
              <w:jc w:val="center"/>
              <w:rPr>
                <w:b/>
                <w:color w:val="FFFFFF" w:themeColor="background1"/>
              </w:rPr>
            </w:pPr>
            <w:r>
              <w:rPr>
                <w:b/>
                <w:color w:val="FFFFFF" w:themeColor="background1"/>
              </w:rPr>
              <w:t>(000)</w:t>
            </w:r>
          </w:p>
        </w:tc>
        <w:tc>
          <w:tcPr>
            <w:tcW w:w="901" w:type="pct"/>
            <w:shd w:val="clear" w:color="auto" w:fill="300050" w:themeFill="text2"/>
            <w:vAlign w:val="center"/>
          </w:tcPr>
          <w:p w14:paraId="4B8A45EE" w14:textId="4CCDB532" w:rsidR="00CA7411" w:rsidRDefault="00CA7411" w:rsidP="00606094">
            <w:pPr>
              <w:spacing w:before="0" w:after="120" w:line="240" w:lineRule="auto"/>
              <w:jc w:val="center"/>
              <w:rPr>
                <w:b/>
                <w:color w:val="FFFFFF" w:themeColor="background1"/>
              </w:rPr>
            </w:pPr>
            <w:r>
              <w:rPr>
                <w:b/>
                <w:color w:val="FFFFFF" w:themeColor="background1"/>
              </w:rPr>
              <w:t>Spend per trip</w:t>
            </w:r>
          </w:p>
          <w:p w14:paraId="12A9AA22" w14:textId="77777777" w:rsidR="00CA7411" w:rsidRPr="003A58AB" w:rsidRDefault="00CA7411" w:rsidP="00606094">
            <w:pPr>
              <w:spacing w:before="0" w:after="120" w:line="240" w:lineRule="auto"/>
              <w:jc w:val="center"/>
              <w:rPr>
                <w:b/>
                <w:color w:val="FFFFFF" w:themeColor="background1"/>
              </w:rPr>
            </w:pPr>
            <w:r>
              <w:rPr>
                <w:b/>
                <w:color w:val="FFFFFF" w:themeColor="background1"/>
              </w:rPr>
              <w:t>($)</w:t>
            </w:r>
          </w:p>
        </w:tc>
        <w:tc>
          <w:tcPr>
            <w:tcW w:w="986" w:type="pct"/>
            <w:shd w:val="clear" w:color="auto" w:fill="300050" w:themeFill="text2"/>
            <w:vAlign w:val="center"/>
          </w:tcPr>
          <w:p w14:paraId="11F098B2" w14:textId="77777777" w:rsidR="00CA7411" w:rsidRDefault="00CA7411" w:rsidP="00606094">
            <w:pPr>
              <w:spacing w:before="0" w:after="120" w:line="240" w:lineRule="auto"/>
              <w:jc w:val="center"/>
              <w:rPr>
                <w:b/>
                <w:color w:val="FFFFFF" w:themeColor="background1"/>
              </w:rPr>
            </w:pPr>
            <w:r>
              <w:rPr>
                <w:b/>
                <w:color w:val="FFFFFF" w:themeColor="background1"/>
              </w:rPr>
              <w:t>Nights per trip</w:t>
            </w:r>
          </w:p>
          <w:p w14:paraId="561E9CEF" w14:textId="77777777" w:rsidR="00CA7411" w:rsidRDefault="00CA7411" w:rsidP="00606094">
            <w:pPr>
              <w:spacing w:before="0" w:after="120" w:line="240" w:lineRule="auto"/>
              <w:jc w:val="center"/>
              <w:rPr>
                <w:b/>
                <w:color w:val="FFFFFF" w:themeColor="background1"/>
              </w:rPr>
            </w:pPr>
            <w:r>
              <w:rPr>
                <w:b/>
                <w:color w:val="FFFFFF" w:themeColor="background1"/>
              </w:rPr>
              <w:t>(nights)</w:t>
            </w:r>
          </w:p>
        </w:tc>
        <w:tc>
          <w:tcPr>
            <w:tcW w:w="985" w:type="pct"/>
            <w:shd w:val="clear" w:color="auto" w:fill="300050" w:themeFill="text2"/>
            <w:vAlign w:val="center"/>
          </w:tcPr>
          <w:p w14:paraId="6F776678" w14:textId="77777777" w:rsidR="00CA7411" w:rsidRDefault="00CA7411" w:rsidP="00606094">
            <w:pPr>
              <w:spacing w:before="0" w:after="120" w:line="240" w:lineRule="auto"/>
              <w:jc w:val="center"/>
              <w:rPr>
                <w:b/>
                <w:color w:val="FFFFFF" w:themeColor="background1"/>
              </w:rPr>
            </w:pPr>
            <w:r>
              <w:rPr>
                <w:b/>
                <w:color w:val="FFFFFF" w:themeColor="background1"/>
              </w:rPr>
              <w:t>Spend per night</w:t>
            </w:r>
          </w:p>
          <w:p w14:paraId="52A30E24" w14:textId="77777777" w:rsidR="00CA7411" w:rsidRDefault="00CA7411" w:rsidP="00606094">
            <w:pPr>
              <w:spacing w:before="0" w:after="120" w:line="240" w:lineRule="auto"/>
              <w:jc w:val="center"/>
              <w:rPr>
                <w:b/>
                <w:color w:val="FFFFFF" w:themeColor="background1"/>
              </w:rPr>
            </w:pPr>
            <w:r>
              <w:rPr>
                <w:b/>
                <w:color w:val="FFFFFF" w:themeColor="background1"/>
              </w:rPr>
              <w:t>($)</w:t>
            </w:r>
          </w:p>
        </w:tc>
      </w:tr>
      <w:tr w:rsidR="00CA7411" w:rsidRPr="003A58AB" w14:paraId="3F1F62AA" w14:textId="5D6DA072" w:rsidTr="00CA7411">
        <w:trPr>
          <w:trHeight w:hRule="exact" w:val="340"/>
        </w:trPr>
        <w:tc>
          <w:tcPr>
            <w:tcW w:w="1063" w:type="pct"/>
            <w:vAlign w:val="center"/>
          </w:tcPr>
          <w:p w14:paraId="519D654D" w14:textId="726170E4" w:rsidR="00CA7411" w:rsidRDefault="00CA7411" w:rsidP="00606094">
            <w:pPr>
              <w:spacing w:before="0" w:after="0" w:line="240" w:lineRule="auto"/>
            </w:pPr>
            <w:r>
              <w:t>New Zealand</w:t>
            </w:r>
          </w:p>
        </w:tc>
        <w:tc>
          <w:tcPr>
            <w:tcW w:w="1065" w:type="pct"/>
            <w:vAlign w:val="center"/>
          </w:tcPr>
          <w:p w14:paraId="1E440A53" w14:textId="5B32C7D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501</w:t>
            </w:r>
          </w:p>
        </w:tc>
        <w:tc>
          <w:tcPr>
            <w:tcW w:w="901" w:type="pct"/>
            <w:vAlign w:val="center"/>
          </w:tcPr>
          <w:p w14:paraId="334CD357" w14:textId="10C038DF"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1,984</w:t>
            </w:r>
          </w:p>
        </w:tc>
        <w:tc>
          <w:tcPr>
            <w:tcW w:w="986" w:type="pct"/>
            <w:vAlign w:val="center"/>
          </w:tcPr>
          <w:p w14:paraId="25548B7F" w14:textId="501A6FE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9</w:t>
            </w:r>
          </w:p>
        </w:tc>
        <w:tc>
          <w:tcPr>
            <w:tcW w:w="985" w:type="pct"/>
            <w:vAlign w:val="center"/>
          </w:tcPr>
          <w:p w14:paraId="37784747" w14:textId="7B8B6246"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210</w:t>
            </w:r>
          </w:p>
        </w:tc>
      </w:tr>
      <w:tr w:rsidR="00CA7411" w:rsidRPr="003A58AB" w14:paraId="60336D66" w14:textId="66220F21" w:rsidTr="00CA7411">
        <w:trPr>
          <w:trHeight w:hRule="exact" w:val="340"/>
        </w:trPr>
        <w:tc>
          <w:tcPr>
            <w:tcW w:w="1063" w:type="pct"/>
            <w:vAlign w:val="center"/>
          </w:tcPr>
          <w:p w14:paraId="300B30C0" w14:textId="2C89C288" w:rsidR="00CA7411" w:rsidRPr="003A58AB" w:rsidRDefault="00CA7411" w:rsidP="00606094">
            <w:pPr>
              <w:spacing w:before="0" w:after="0" w:line="240" w:lineRule="auto"/>
            </w:pPr>
            <w:r>
              <w:t>United States</w:t>
            </w:r>
          </w:p>
        </w:tc>
        <w:tc>
          <w:tcPr>
            <w:tcW w:w="1065" w:type="pct"/>
            <w:vAlign w:val="center"/>
          </w:tcPr>
          <w:p w14:paraId="60016EC9" w14:textId="4628FF0F"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333</w:t>
            </w:r>
          </w:p>
        </w:tc>
        <w:tc>
          <w:tcPr>
            <w:tcW w:w="901" w:type="pct"/>
            <w:vAlign w:val="center"/>
          </w:tcPr>
          <w:p w14:paraId="013D180C" w14:textId="3952746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3,233</w:t>
            </w:r>
          </w:p>
        </w:tc>
        <w:tc>
          <w:tcPr>
            <w:tcW w:w="986" w:type="pct"/>
            <w:vAlign w:val="center"/>
          </w:tcPr>
          <w:p w14:paraId="1FD037D6" w14:textId="32A908B6"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15</w:t>
            </w:r>
          </w:p>
        </w:tc>
        <w:tc>
          <w:tcPr>
            <w:tcW w:w="985" w:type="pct"/>
            <w:vAlign w:val="center"/>
          </w:tcPr>
          <w:p w14:paraId="11FADE6B" w14:textId="2D460D1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218</w:t>
            </w:r>
          </w:p>
        </w:tc>
      </w:tr>
      <w:tr w:rsidR="00CA7411" w:rsidRPr="003A58AB" w14:paraId="4A6A61BE" w14:textId="35C63CBF" w:rsidTr="00CA7411">
        <w:trPr>
          <w:trHeight w:hRule="exact" w:val="340"/>
        </w:trPr>
        <w:tc>
          <w:tcPr>
            <w:tcW w:w="1063" w:type="pct"/>
            <w:vAlign w:val="center"/>
          </w:tcPr>
          <w:p w14:paraId="77758158" w14:textId="1025FDC1" w:rsidR="00CA7411" w:rsidRDefault="00CA7411" w:rsidP="00606094">
            <w:pPr>
              <w:spacing w:before="0" w:after="0" w:line="240" w:lineRule="auto"/>
            </w:pPr>
            <w:r>
              <w:t>China</w:t>
            </w:r>
          </w:p>
        </w:tc>
        <w:tc>
          <w:tcPr>
            <w:tcW w:w="1065" w:type="pct"/>
            <w:vAlign w:val="center"/>
          </w:tcPr>
          <w:p w14:paraId="71F0011B" w14:textId="2DCDC3A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329</w:t>
            </w:r>
          </w:p>
        </w:tc>
        <w:tc>
          <w:tcPr>
            <w:tcW w:w="901" w:type="pct"/>
            <w:vAlign w:val="center"/>
          </w:tcPr>
          <w:p w14:paraId="1F6757A1" w14:textId="2B47EEB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3,486</w:t>
            </w:r>
          </w:p>
        </w:tc>
        <w:tc>
          <w:tcPr>
            <w:tcW w:w="986" w:type="pct"/>
            <w:vAlign w:val="center"/>
          </w:tcPr>
          <w:p w14:paraId="5A9987D7" w14:textId="19C008A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18</w:t>
            </w:r>
          </w:p>
        </w:tc>
        <w:tc>
          <w:tcPr>
            <w:tcW w:w="985" w:type="pct"/>
            <w:vAlign w:val="center"/>
          </w:tcPr>
          <w:p w14:paraId="4EFD2077" w14:textId="737025E8"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194</w:t>
            </w:r>
          </w:p>
        </w:tc>
      </w:tr>
      <w:tr w:rsidR="00CA7411" w:rsidRPr="003A58AB" w14:paraId="65A2069D" w14:textId="107AE5D0" w:rsidTr="00CA7411">
        <w:trPr>
          <w:trHeight w:hRule="exact" w:val="340"/>
        </w:trPr>
        <w:tc>
          <w:tcPr>
            <w:tcW w:w="1063" w:type="pct"/>
            <w:vAlign w:val="center"/>
          </w:tcPr>
          <w:p w14:paraId="2FF8BEEE" w14:textId="0872A9DA" w:rsidR="00CA7411" w:rsidRPr="003A58AB" w:rsidRDefault="00CA7411" w:rsidP="00606094">
            <w:pPr>
              <w:spacing w:before="0" w:after="0" w:line="240" w:lineRule="auto"/>
            </w:pPr>
            <w:r>
              <w:t>South Korea</w:t>
            </w:r>
          </w:p>
        </w:tc>
        <w:tc>
          <w:tcPr>
            <w:tcW w:w="1065" w:type="pct"/>
            <w:vAlign w:val="center"/>
          </w:tcPr>
          <w:p w14:paraId="40A6EF51" w14:textId="49D6E7E1"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265</w:t>
            </w:r>
          </w:p>
        </w:tc>
        <w:tc>
          <w:tcPr>
            <w:tcW w:w="901" w:type="pct"/>
            <w:vAlign w:val="center"/>
          </w:tcPr>
          <w:p w14:paraId="41024A6A" w14:textId="019D4915"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3,866</w:t>
            </w:r>
          </w:p>
        </w:tc>
        <w:tc>
          <w:tcPr>
            <w:tcW w:w="986" w:type="pct"/>
            <w:vAlign w:val="center"/>
          </w:tcPr>
          <w:p w14:paraId="0FEDA1DF" w14:textId="6CBF6640"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22</w:t>
            </w:r>
          </w:p>
        </w:tc>
        <w:tc>
          <w:tcPr>
            <w:tcW w:w="985" w:type="pct"/>
            <w:vAlign w:val="center"/>
          </w:tcPr>
          <w:p w14:paraId="2A67A7ED" w14:textId="306B223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172</w:t>
            </w:r>
          </w:p>
        </w:tc>
      </w:tr>
      <w:tr w:rsidR="00CA7411" w:rsidRPr="003A58AB" w14:paraId="0217087B" w14:textId="3EAC9889" w:rsidTr="00CA7411">
        <w:trPr>
          <w:trHeight w:hRule="exact" w:val="340"/>
        </w:trPr>
        <w:tc>
          <w:tcPr>
            <w:tcW w:w="1063" w:type="pct"/>
            <w:vAlign w:val="center"/>
          </w:tcPr>
          <w:p w14:paraId="13E494DF" w14:textId="3A5F2AD4" w:rsidR="00CA7411" w:rsidRPr="003A58AB" w:rsidRDefault="00CA7411" w:rsidP="00606094">
            <w:pPr>
              <w:spacing w:before="0" w:after="0" w:line="240" w:lineRule="auto"/>
            </w:pPr>
            <w:r>
              <w:t>Japan</w:t>
            </w:r>
          </w:p>
        </w:tc>
        <w:tc>
          <w:tcPr>
            <w:tcW w:w="1065" w:type="pct"/>
            <w:vAlign w:val="center"/>
          </w:tcPr>
          <w:p w14:paraId="2645DCD2" w14:textId="548A8E4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234</w:t>
            </w:r>
          </w:p>
        </w:tc>
        <w:tc>
          <w:tcPr>
            <w:tcW w:w="901" w:type="pct"/>
            <w:vAlign w:val="center"/>
          </w:tcPr>
          <w:p w14:paraId="13BC1633" w14:textId="0A096E5E"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2,915</w:t>
            </w:r>
          </w:p>
        </w:tc>
        <w:tc>
          <w:tcPr>
            <w:tcW w:w="986" w:type="pct"/>
            <w:vAlign w:val="center"/>
          </w:tcPr>
          <w:p w14:paraId="31AC6118" w14:textId="161BB2DC"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26</w:t>
            </w:r>
          </w:p>
        </w:tc>
        <w:tc>
          <w:tcPr>
            <w:tcW w:w="985" w:type="pct"/>
            <w:vAlign w:val="center"/>
          </w:tcPr>
          <w:p w14:paraId="3D15A2E5" w14:textId="190CE91C"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110</w:t>
            </w:r>
          </w:p>
        </w:tc>
      </w:tr>
      <w:tr w:rsidR="00CA7411" w:rsidRPr="003A58AB" w14:paraId="36BF1935" w14:textId="0298569A" w:rsidTr="00CA7411">
        <w:trPr>
          <w:trHeight w:hRule="exact" w:val="340"/>
        </w:trPr>
        <w:tc>
          <w:tcPr>
            <w:tcW w:w="1063" w:type="pct"/>
            <w:vAlign w:val="center"/>
          </w:tcPr>
          <w:p w14:paraId="71128BF3" w14:textId="1ECF6207" w:rsidR="00CA7411" w:rsidRDefault="00CA7411" w:rsidP="00606094">
            <w:pPr>
              <w:spacing w:before="0" w:after="0" w:line="240" w:lineRule="auto"/>
            </w:pPr>
            <w:r>
              <w:t>Singapore</w:t>
            </w:r>
          </w:p>
        </w:tc>
        <w:tc>
          <w:tcPr>
            <w:tcW w:w="1065" w:type="pct"/>
            <w:vAlign w:val="center"/>
          </w:tcPr>
          <w:p w14:paraId="6F8FDCE4" w14:textId="62806CE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211</w:t>
            </w:r>
          </w:p>
        </w:tc>
        <w:tc>
          <w:tcPr>
            <w:tcW w:w="901" w:type="pct"/>
            <w:vAlign w:val="center"/>
          </w:tcPr>
          <w:p w14:paraId="7D19FB27" w14:textId="26DBC76B"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2,339</w:t>
            </w:r>
          </w:p>
        </w:tc>
        <w:tc>
          <w:tcPr>
            <w:tcW w:w="986" w:type="pct"/>
            <w:vAlign w:val="center"/>
          </w:tcPr>
          <w:p w14:paraId="68C50FC3" w14:textId="3FA94CA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10</w:t>
            </w:r>
          </w:p>
        </w:tc>
        <w:tc>
          <w:tcPr>
            <w:tcW w:w="985" w:type="pct"/>
            <w:vAlign w:val="center"/>
          </w:tcPr>
          <w:p w14:paraId="6AFA8AC6" w14:textId="1F57891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244</w:t>
            </w:r>
          </w:p>
        </w:tc>
      </w:tr>
      <w:tr w:rsidR="00CA7411" w:rsidRPr="003A58AB" w14:paraId="5C1467CE" w14:textId="1EFF8A9B" w:rsidTr="00CA7411">
        <w:trPr>
          <w:trHeight w:hRule="exact" w:val="340"/>
        </w:trPr>
        <w:tc>
          <w:tcPr>
            <w:tcW w:w="1063" w:type="pct"/>
            <w:vAlign w:val="center"/>
          </w:tcPr>
          <w:p w14:paraId="48AD0FA1" w14:textId="3FA41043" w:rsidR="00CA7411" w:rsidRPr="003A58AB" w:rsidRDefault="00CA7411" w:rsidP="00606094">
            <w:pPr>
              <w:spacing w:before="0" w:after="0" w:line="240" w:lineRule="auto"/>
            </w:pPr>
            <w:r>
              <w:t>United Kingdom</w:t>
            </w:r>
          </w:p>
        </w:tc>
        <w:tc>
          <w:tcPr>
            <w:tcW w:w="1065" w:type="pct"/>
            <w:vAlign w:val="center"/>
          </w:tcPr>
          <w:p w14:paraId="4E30C65B" w14:textId="73DF3F45"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205</w:t>
            </w:r>
          </w:p>
        </w:tc>
        <w:tc>
          <w:tcPr>
            <w:tcW w:w="901" w:type="pct"/>
            <w:vAlign w:val="center"/>
          </w:tcPr>
          <w:p w14:paraId="317ECD80" w14:textId="587E2CD9"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4,798</w:t>
            </w:r>
          </w:p>
        </w:tc>
        <w:tc>
          <w:tcPr>
            <w:tcW w:w="986" w:type="pct"/>
            <w:vAlign w:val="center"/>
          </w:tcPr>
          <w:p w14:paraId="689E7F8A" w14:textId="24C082C1"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42</w:t>
            </w:r>
          </w:p>
        </w:tc>
        <w:tc>
          <w:tcPr>
            <w:tcW w:w="985" w:type="pct"/>
            <w:vAlign w:val="center"/>
          </w:tcPr>
          <w:p w14:paraId="238FBB62" w14:textId="7C3276B0"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113</w:t>
            </w:r>
          </w:p>
        </w:tc>
      </w:tr>
      <w:tr w:rsidR="00CA7411" w:rsidRPr="003A58AB" w14:paraId="396AEF2A" w14:textId="6CDBCDAD" w:rsidTr="00CA7411">
        <w:trPr>
          <w:trHeight w:hRule="exact" w:val="340"/>
        </w:trPr>
        <w:tc>
          <w:tcPr>
            <w:tcW w:w="1063" w:type="pct"/>
            <w:vAlign w:val="center"/>
          </w:tcPr>
          <w:p w14:paraId="12655EE3" w14:textId="1F7771A1" w:rsidR="00CA7411" w:rsidRDefault="00CA7411" w:rsidP="00606094">
            <w:pPr>
              <w:spacing w:before="0" w:after="0" w:line="240" w:lineRule="auto"/>
            </w:pPr>
            <w:r>
              <w:t>Indonesia</w:t>
            </w:r>
          </w:p>
        </w:tc>
        <w:tc>
          <w:tcPr>
            <w:tcW w:w="1065" w:type="pct"/>
            <w:vAlign w:val="center"/>
          </w:tcPr>
          <w:p w14:paraId="55F5D77F" w14:textId="568B3A58"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102</w:t>
            </w:r>
          </w:p>
        </w:tc>
        <w:tc>
          <w:tcPr>
            <w:tcW w:w="901" w:type="pct"/>
            <w:vAlign w:val="center"/>
          </w:tcPr>
          <w:p w14:paraId="53590358" w14:textId="6CC9D1BF"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3,469</w:t>
            </w:r>
          </w:p>
        </w:tc>
        <w:tc>
          <w:tcPr>
            <w:tcW w:w="986" w:type="pct"/>
            <w:vAlign w:val="center"/>
          </w:tcPr>
          <w:p w14:paraId="18E22981" w14:textId="0864EEDF"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39</w:t>
            </w:r>
          </w:p>
        </w:tc>
        <w:tc>
          <w:tcPr>
            <w:tcW w:w="985" w:type="pct"/>
            <w:vAlign w:val="center"/>
          </w:tcPr>
          <w:p w14:paraId="375EE7DF" w14:textId="3700478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89</w:t>
            </w:r>
          </w:p>
        </w:tc>
      </w:tr>
      <w:tr w:rsidR="00CA7411" w:rsidRPr="003A58AB" w14:paraId="47ED9466" w14:textId="51D47A98" w:rsidTr="00CA7411">
        <w:trPr>
          <w:trHeight w:hRule="exact" w:val="340"/>
        </w:trPr>
        <w:tc>
          <w:tcPr>
            <w:tcW w:w="1063" w:type="pct"/>
            <w:vAlign w:val="center"/>
          </w:tcPr>
          <w:p w14:paraId="413589B4" w14:textId="1DE3F4E3" w:rsidR="00CA7411" w:rsidRDefault="00CA7411" w:rsidP="00606094">
            <w:pPr>
              <w:spacing w:before="0" w:after="0" w:line="240" w:lineRule="auto"/>
            </w:pPr>
            <w:r>
              <w:t>Hong Kong</w:t>
            </w:r>
          </w:p>
        </w:tc>
        <w:tc>
          <w:tcPr>
            <w:tcW w:w="1065" w:type="pct"/>
            <w:vAlign w:val="center"/>
          </w:tcPr>
          <w:p w14:paraId="3DF0A139" w14:textId="364A1A9C"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96</w:t>
            </w:r>
          </w:p>
        </w:tc>
        <w:tc>
          <w:tcPr>
            <w:tcW w:w="901" w:type="pct"/>
            <w:vAlign w:val="center"/>
          </w:tcPr>
          <w:p w14:paraId="5365D196" w14:textId="15806DCC"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2,904</w:t>
            </w:r>
          </w:p>
        </w:tc>
        <w:tc>
          <w:tcPr>
            <w:tcW w:w="986" w:type="pct"/>
            <w:vAlign w:val="center"/>
          </w:tcPr>
          <w:p w14:paraId="04264515" w14:textId="232CA2CD"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12</w:t>
            </w:r>
          </w:p>
        </w:tc>
        <w:tc>
          <w:tcPr>
            <w:tcW w:w="985" w:type="pct"/>
            <w:vAlign w:val="center"/>
          </w:tcPr>
          <w:p w14:paraId="4B34E516" w14:textId="20C40C96"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251</w:t>
            </w:r>
          </w:p>
        </w:tc>
      </w:tr>
      <w:tr w:rsidR="00CA7411" w:rsidRPr="003A58AB" w14:paraId="3B026EC7" w14:textId="725CDDE5" w:rsidTr="00CA7411">
        <w:trPr>
          <w:trHeight w:hRule="exact" w:val="340"/>
        </w:trPr>
        <w:tc>
          <w:tcPr>
            <w:tcW w:w="1063" w:type="pct"/>
            <w:vAlign w:val="center"/>
          </w:tcPr>
          <w:p w14:paraId="1C1E712B" w14:textId="2E0C0D2E" w:rsidR="00CA7411" w:rsidRDefault="00CA7411" w:rsidP="00606094">
            <w:pPr>
              <w:spacing w:before="0" w:after="0" w:line="240" w:lineRule="auto"/>
            </w:pPr>
            <w:r>
              <w:t>Taiwan</w:t>
            </w:r>
          </w:p>
        </w:tc>
        <w:tc>
          <w:tcPr>
            <w:tcW w:w="1065" w:type="pct"/>
            <w:vAlign w:val="center"/>
          </w:tcPr>
          <w:p w14:paraId="56E83F35" w14:textId="53EBA7F0"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95</w:t>
            </w:r>
          </w:p>
        </w:tc>
        <w:tc>
          <w:tcPr>
            <w:tcW w:w="901" w:type="pct"/>
            <w:vAlign w:val="center"/>
          </w:tcPr>
          <w:p w14:paraId="26CDC420" w14:textId="7B00E3AD"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5,372</w:t>
            </w:r>
          </w:p>
        </w:tc>
        <w:tc>
          <w:tcPr>
            <w:tcW w:w="986" w:type="pct"/>
            <w:vAlign w:val="center"/>
          </w:tcPr>
          <w:p w14:paraId="3EE9BA5F" w14:textId="026E5863"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66</w:t>
            </w:r>
          </w:p>
        </w:tc>
        <w:tc>
          <w:tcPr>
            <w:tcW w:w="985" w:type="pct"/>
            <w:vAlign w:val="center"/>
          </w:tcPr>
          <w:p w14:paraId="279F9193" w14:textId="1C239F7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81</w:t>
            </w:r>
          </w:p>
        </w:tc>
      </w:tr>
      <w:tr w:rsidR="00CA7411" w:rsidRPr="003A58AB" w14:paraId="7F9C4C01" w14:textId="580202E9" w:rsidTr="00CA7411">
        <w:trPr>
          <w:trHeight w:hRule="exact" w:val="340"/>
        </w:trPr>
        <w:tc>
          <w:tcPr>
            <w:tcW w:w="1063" w:type="pct"/>
            <w:vAlign w:val="center"/>
          </w:tcPr>
          <w:p w14:paraId="4E338C75" w14:textId="388C6B63" w:rsidR="00CA7411" w:rsidRDefault="00CA7411" w:rsidP="00606094">
            <w:pPr>
              <w:spacing w:before="0" w:after="0" w:line="240" w:lineRule="auto"/>
            </w:pPr>
            <w:r>
              <w:t>Germany</w:t>
            </w:r>
          </w:p>
        </w:tc>
        <w:tc>
          <w:tcPr>
            <w:tcW w:w="1065" w:type="pct"/>
            <w:vAlign w:val="center"/>
          </w:tcPr>
          <w:p w14:paraId="2AA04B88" w14:textId="12969727"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95</w:t>
            </w:r>
          </w:p>
        </w:tc>
        <w:tc>
          <w:tcPr>
            <w:tcW w:w="901" w:type="pct"/>
            <w:vAlign w:val="center"/>
          </w:tcPr>
          <w:p w14:paraId="627E70E1" w14:textId="6C2B695E"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4,052</w:t>
            </w:r>
          </w:p>
        </w:tc>
        <w:tc>
          <w:tcPr>
            <w:tcW w:w="986" w:type="pct"/>
            <w:vAlign w:val="center"/>
          </w:tcPr>
          <w:p w14:paraId="27BD44BA" w14:textId="5E416D2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38</w:t>
            </w:r>
          </w:p>
        </w:tc>
        <w:tc>
          <w:tcPr>
            <w:tcW w:w="985" w:type="pct"/>
            <w:vAlign w:val="center"/>
          </w:tcPr>
          <w:p w14:paraId="23025702" w14:textId="1DA9BBA7"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107</w:t>
            </w:r>
          </w:p>
        </w:tc>
      </w:tr>
      <w:tr w:rsidR="00CA7411" w:rsidRPr="003A58AB" w14:paraId="1C5D45AF" w14:textId="635C140F" w:rsidTr="00CA7411">
        <w:trPr>
          <w:trHeight w:hRule="exact" w:val="340"/>
        </w:trPr>
        <w:tc>
          <w:tcPr>
            <w:tcW w:w="1063" w:type="pct"/>
            <w:vAlign w:val="center"/>
          </w:tcPr>
          <w:p w14:paraId="1080F3A0" w14:textId="5FA47322" w:rsidR="00CA7411" w:rsidRDefault="00CA7411" w:rsidP="00606094">
            <w:pPr>
              <w:spacing w:before="0" w:after="0" w:line="240" w:lineRule="auto"/>
            </w:pPr>
            <w:r>
              <w:t>Malaysia</w:t>
            </w:r>
          </w:p>
        </w:tc>
        <w:tc>
          <w:tcPr>
            <w:tcW w:w="1065" w:type="pct"/>
            <w:vAlign w:val="center"/>
          </w:tcPr>
          <w:p w14:paraId="3E0EEC82" w14:textId="36317B66"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86</w:t>
            </w:r>
          </w:p>
        </w:tc>
        <w:tc>
          <w:tcPr>
            <w:tcW w:w="901" w:type="pct"/>
            <w:vAlign w:val="center"/>
          </w:tcPr>
          <w:p w14:paraId="5D941795" w14:textId="58762F5C"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1,991</w:t>
            </w:r>
          </w:p>
        </w:tc>
        <w:tc>
          <w:tcPr>
            <w:tcW w:w="986" w:type="pct"/>
            <w:vAlign w:val="center"/>
          </w:tcPr>
          <w:p w14:paraId="15599F99" w14:textId="0F04A0C7"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10</w:t>
            </w:r>
          </w:p>
        </w:tc>
        <w:tc>
          <w:tcPr>
            <w:tcW w:w="985" w:type="pct"/>
            <w:vAlign w:val="center"/>
          </w:tcPr>
          <w:p w14:paraId="2A4C7CB6" w14:textId="1390AF37"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190</w:t>
            </w:r>
          </w:p>
        </w:tc>
      </w:tr>
      <w:tr w:rsidR="00CA7411" w:rsidRPr="003A58AB" w14:paraId="207E39BA" w14:textId="03B62BD6" w:rsidTr="00CA7411">
        <w:trPr>
          <w:trHeight w:hRule="exact" w:val="340"/>
        </w:trPr>
        <w:tc>
          <w:tcPr>
            <w:tcW w:w="1063" w:type="pct"/>
            <w:vAlign w:val="center"/>
          </w:tcPr>
          <w:p w14:paraId="2E3FC932" w14:textId="670333B3" w:rsidR="00CA7411" w:rsidRDefault="00CA7411" w:rsidP="00606094">
            <w:pPr>
              <w:spacing w:before="0" w:after="0" w:line="240" w:lineRule="auto"/>
            </w:pPr>
            <w:r>
              <w:t>India</w:t>
            </w:r>
          </w:p>
        </w:tc>
        <w:tc>
          <w:tcPr>
            <w:tcW w:w="1065" w:type="pct"/>
            <w:vAlign w:val="center"/>
          </w:tcPr>
          <w:p w14:paraId="601655F5" w14:textId="2357D5CB"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62</w:t>
            </w:r>
          </w:p>
        </w:tc>
        <w:tc>
          <w:tcPr>
            <w:tcW w:w="901" w:type="pct"/>
            <w:vAlign w:val="center"/>
          </w:tcPr>
          <w:p w14:paraId="53EC8D31" w14:textId="4903D22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3,357</w:t>
            </w:r>
          </w:p>
        </w:tc>
        <w:tc>
          <w:tcPr>
            <w:tcW w:w="986" w:type="pct"/>
            <w:vAlign w:val="center"/>
          </w:tcPr>
          <w:p w14:paraId="34F16DF0" w14:textId="3F989A3B"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28</w:t>
            </w:r>
          </w:p>
        </w:tc>
        <w:tc>
          <w:tcPr>
            <w:tcW w:w="985" w:type="pct"/>
            <w:vAlign w:val="center"/>
          </w:tcPr>
          <w:p w14:paraId="2D136190" w14:textId="309E97A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121</w:t>
            </w:r>
          </w:p>
        </w:tc>
      </w:tr>
      <w:tr w:rsidR="00CA7411" w:rsidRPr="003A58AB" w14:paraId="76378E16" w14:textId="4BF358FD" w:rsidTr="00CA7411">
        <w:trPr>
          <w:trHeight w:hRule="exact" w:val="340"/>
        </w:trPr>
        <w:tc>
          <w:tcPr>
            <w:tcW w:w="1063" w:type="pct"/>
            <w:vAlign w:val="center"/>
          </w:tcPr>
          <w:p w14:paraId="0495BC4B" w14:textId="1DB4FA2C" w:rsidR="00CA7411" w:rsidRDefault="00CA7411" w:rsidP="00606094">
            <w:pPr>
              <w:spacing w:before="0" w:after="0" w:line="240" w:lineRule="auto"/>
            </w:pPr>
            <w:r>
              <w:t>Canada</w:t>
            </w:r>
          </w:p>
        </w:tc>
        <w:tc>
          <w:tcPr>
            <w:tcW w:w="1065" w:type="pct"/>
            <w:vAlign w:val="center"/>
          </w:tcPr>
          <w:p w14:paraId="7F653CDE" w14:textId="7BB18923"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62</w:t>
            </w:r>
          </w:p>
        </w:tc>
        <w:tc>
          <w:tcPr>
            <w:tcW w:w="901" w:type="pct"/>
            <w:vAlign w:val="center"/>
          </w:tcPr>
          <w:p w14:paraId="69DD169E" w14:textId="32A149E7"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3,376</w:t>
            </w:r>
          </w:p>
        </w:tc>
        <w:tc>
          <w:tcPr>
            <w:tcW w:w="986" w:type="pct"/>
            <w:vAlign w:val="center"/>
          </w:tcPr>
          <w:p w14:paraId="61B9A2E8" w14:textId="5C619C27"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27</w:t>
            </w:r>
          </w:p>
        </w:tc>
        <w:tc>
          <w:tcPr>
            <w:tcW w:w="985" w:type="pct"/>
            <w:vAlign w:val="center"/>
          </w:tcPr>
          <w:p w14:paraId="29AB939F" w14:textId="4F2C2D11"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125</w:t>
            </w:r>
          </w:p>
        </w:tc>
      </w:tr>
      <w:tr w:rsidR="00CA7411" w:rsidRPr="003A58AB" w14:paraId="24437AC9" w14:textId="31F5ECEA" w:rsidTr="00CA7411">
        <w:trPr>
          <w:trHeight w:hRule="exact" w:val="340"/>
        </w:trPr>
        <w:tc>
          <w:tcPr>
            <w:tcW w:w="1063" w:type="pct"/>
            <w:vAlign w:val="center"/>
          </w:tcPr>
          <w:p w14:paraId="4BAAA869" w14:textId="2CA99899" w:rsidR="00CA7411" w:rsidRDefault="00CA7411" w:rsidP="00606094">
            <w:pPr>
              <w:spacing w:before="0" w:after="0" w:line="240" w:lineRule="auto"/>
            </w:pPr>
            <w:r>
              <w:lastRenderedPageBreak/>
              <w:t>France</w:t>
            </w:r>
          </w:p>
        </w:tc>
        <w:tc>
          <w:tcPr>
            <w:tcW w:w="1065" w:type="pct"/>
            <w:vAlign w:val="center"/>
          </w:tcPr>
          <w:p w14:paraId="6D0BB0CA" w14:textId="64E6ECFD"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56</w:t>
            </w:r>
          </w:p>
        </w:tc>
        <w:tc>
          <w:tcPr>
            <w:tcW w:w="901" w:type="pct"/>
            <w:vAlign w:val="center"/>
          </w:tcPr>
          <w:p w14:paraId="748A1DC1" w14:textId="709CFDCE"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5,619</w:t>
            </w:r>
          </w:p>
        </w:tc>
        <w:tc>
          <w:tcPr>
            <w:tcW w:w="986" w:type="pct"/>
            <w:vAlign w:val="center"/>
          </w:tcPr>
          <w:p w14:paraId="71A4765D" w14:textId="27B07264"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74</w:t>
            </w:r>
          </w:p>
        </w:tc>
        <w:tc>
          <w:tcPr>
            <w:tcW w:w="985" w:type="pct"/>
            <w:vAlign w:val="center"/>
          </w:tcPr>
          <w:p w14:paraId="4D5DB45D" w14:textId="5C71D95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76</w:t>
            </w:r>
          </w:p>
        </w:tc>
      </w:tr>
      <w:tr w:rsidR="00CA7411" w:rsidRPr="003A58AB" w14:paraId="04C85BF4" w14:textId="76634936" w:rsidTr="00CA7411">
        <w:trPr>
          <w:trHeight w:hRule="exact" w:val="340"/>
        </w:trPr>
        <w:tc>
          <w:tcPr>
            <w:tcW w:w="1063" w:type="pct"/>
            <w:vAlign w:val="center"/>
          </w:tcPr>
          <w:p w14:paraId="403F2B77" w14:textId="112224C3" w:rsidR="00CA7411" w:rsidRDefault="00CA7411" w:rsidP="00606094">
            <w:pPr>
              <w:spacing w:before="0" w:after="0" w:line="240" w:lineRule="auto"/>
            </w:pPr>
            <w:r>
              <w:t>Vietnam</w:t>
            </w:r>
          </w:p>
        </w:tc>
        <w:tc>
          <w:tcPr>
            <w:tcW w:w="1065" w:type="pct"/>
            <w:vAlign w:val="center"/>
          </w:tcPr>
          <w:p w14:paraId="52735AA8" w14:textId="0A1E87B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44</w:t>
            </w:r>
          </w:p>
        </w:tc>
        <w:tc>
          <w:tcPr>
            <w:tcW w:w="901" w:type="pct"/>
            <w:vAlign w:val="center"/>
          </w:tcPr>
          <w:p w14:paraId="2E69C47C" w14:textId="51C1AE56"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2,871</w:t>
            </w:r>
          </w:p>
        </w:tc>
        <w:tc>
          <w:tcPr>
            <w:tcW w:w="986" w:type="pct"/>
            <w:vAlign w:val="center"/>
          </w:tcPr>
          <w:p w14:paraId="2AA3A0A4" w14:textId="37212139"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17</w:t>
            </w:r>
          </w:p>
        </w:tc>
        <w:tc>
          <w:tcPr>
            <w:tcW w:w="985" w:type="pct"/>
            <w:vAlign w:val="center"/>
          </w:tcPr>
          <w:p w14:paraId="62567404" w14:textId="16AC3C5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164</w:t>
            </w:r>
          </w:p>
        </w:tc>
      </w:tr>
      <w:tr w:rsidR="00CA7411" w:rsidRPr="003A58AB" w14:paraId="63C457C0" w14:textId="0899AEE3" w:rsidTr="00CA7411">
        <w:trPr>
          <w:trHeight w:hRule="exact" w:val="340"/>
        </w:trPr>
        <w:tc>
          <w:tcPr>
            <w:tcW w:w="1063" w:type="pct"/>
            <w:vAlign w:val="center"/>
          </w:tcPr>
          <w:p w14:paraId="28C02579" w14:textId="0ACB2E02" w:rsidR="00CA7411" w:rsidRDefault="00CA7411" w:rsidP="00606094">
            <w:pPr>
              <w:spacing w:before="0" w:after="0" w:line="240" w:lineRule="auto"/>
            </w:pPr>
            <w:r>
              <w:t>Philippines</w:t>
            </w:r>
          </w:p>
        </w:tc>
        <w:tc>
          <w:tcPr>
            <w:tcW w:w="1065" w:type="pct"/>
            <w:vAlign w:val="center"/>
          </w:tcPr>
          <w:p w14:paraId="6E6A5484" w14:textId="50486CB6"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44</w:t>
            </w:r>
          </w:p>
        </w:tc>
        <w:tc>
          <w:tcPr>
            <w:tcW w:w="901" w:type="pct"/>
            <w:vAlign w:val="center"/>
          </w:tcPr>
          <w:p w14:paraId="003949B0" w14:textId="0E4A05AB"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2,264</w:t>
            </w:r>
          </w:p>
        </w:tc>
        <w:tc>
          <w:tcPr>
            <w:tcW w:w="986" w:type="pct"/>
            <w:vAlign w:val="center"/>
          </w:tcPr>
          <w:p w14:paraId="30CC909F" w14:textId="0D0458B5"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33</w:t>
            </w:r>
          </w:p>
        </w:tc>
        <w:tc>
          <w:tcPr>
            <w:tcW w:w="985" w:type="pct"/>
            <w:vAlign w:val="center"/>
          </w:tcPr>
          <w:p w14:paraId="32D4F9A2" w14:textId="6892DB78"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68</w:t>
            </w:r>
          </w:p>
        </w:tc>
      </w:tr>
      <w:tr w:rsidR="00CA7411" w:rsidRPr="003A58AB" w14:paraId="32A450BD" w14:textId="5F46F18C" w:rsidTr="00CA7411">
        <w:trPr>
          <w:trHeight w:hRule="exact" w:val="340"/>
        </w:trPr>
        <w:tc>
          <w:tcPr>
            <w:tcW w:w="1063" w:type="pct"/>
            <w:vAlign w:val="center"/>
          </w:tcPr>
          <w:p w14:paraId="17FF3CDE" w14:textId="27EF9590" w:rsidR="00CA7411" w:rsidRDefault="00CA7411" w:rsidP="00606094">
            <w:pPr>
              <w:spacing w:before="0" w:after="0" w:line="240" w:lineRule="auto"/>
            </w:pPr>
            <w:r>
              <w:t>Thailand</w:t>
            </w:r>
          </w:p>
        </w:tc>
        <w:tc>
          <w:tcPr>
            <w:tcW w:w="1065" w:type="pct"/>
            <w:vAlign w:val="center"/>
          </w:tcPr>
          <w:p w14:paraId="35CED19D" w14:textId="057F730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38</w:t>
            </w:r>
          </w:p>
        </w:tc>
        <w:tc>
          <w:tcPr>
            <w:tcW w:w="901" w:type="pct"/>
            <w:vAlign w:val="center"/>
          </w:tcPr>
          <w:p w14:paraId="5A4C47AC" w14:textId="48C81E3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3,808</w:t>
            </w:r>
          </w:p>
        </w:tc>
        <w:tc>
          <w:tcPr>
            <w:tcW w:w="986" w:type="pct"/>
            <w:vAlign w:val="center"/>
          </w:tcPr>
          <w:p w14:paraId="3B667EBB" w14:textId="7ACBD8CA"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40</w:t>
            </w:r>
          </w:p>
        </w:tc>
        <w:tc>
          <w:tcPr>
            <w:tcW w:w="985" w:type="pct"/>
            <w:vAlign w:val="center"/>
          </w:tcPr>
          <w:p w14:paraId="66189F54" w14:textId="64FA87F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95</w:t>
            </w:r>
          </w:p>
        </w:tc>
      </w:tr>
      <w:tr w:rsidR="00CA7411" w:rsidRPr="003A58AB" w14:paraId="47163BED" w14:textId="43A9B831" w:rsidTr="00CA7411">
        <w:trPr>
          <w:trHeight w:hRule="exact" w:val="340"/>
        </w:trPr>
        <w:tc>
          <w:tcPr>
            <w:tcW w:w="1063" w:type="pct"/>
            <w:vAlign w:val="center"/>
          </w:tcPr>
          <w:p w14:paraId="51C29410" w14:textId="756F7128" w:rsidR="00CA7411" w:rsidRDefault="00CA7411" w:rsidP="00606094">
            <w:pPr>
              <w:spacing w:before="0" w:after="0" w:line="240" w:lineRule="auto"/>
            </w:pPr>
            <w:r>
              <w:t>Ireland</w:t>
            </w:r>
          </w:p>
        </w:tc>
        <w:tc>
          <w:tcPr>
            <w:tcW w:w="1065" w:type="pct"/>
            <w:vAlign w:val="center"/>
          </w:tcPr>
          <w:p w14:paraId="30B6FF4F" w14:textId="056CEFD9"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36</w:t>
            </w:r>
          </w:p>
        </w:tc>
        <w:tc>
          <w:tcPr>
            <w:tcW w:w="901" w:type="pct"/>
            <w:vAlign w:val="center"/>
          </w:tcPr>
          <w:p w14:paraId="776D36D6" w14:textId="403C7E3F"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5,003</w:t>
            </w:r>
          </w:p>
        </w:tc>
        <w:tc>
          <w:tcPr>
            <w:tcW w:w="986" w:type="pct"/>
            <w:vAlign w:val="center"/>
          </w:tcPr>
          <w:p w14:paraId="33DDB856" w14:textId="7948B0B2"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54</w:t>
            </w:r>
          </w:p>
        </w:tc>
        <w:tc>
          <w:tcPr>
            <w:tcW w:w="985" w:type="pct"/>
            <w:vAlign w:val="center"/>
          </w:tcPr>
          <w:p w14:paraId="5BF59A2D" w14:textId="7A3E4AB1"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93</w:t>
            </w:r>
          </w:p>
        </w:tc>
      </w:tr>
      <w:tr w:rsidR="00CA7411" w:rsidRPr="003A58AB" w14:paraId="222D4868" w14:textId="699036B2" w:rsidTr="00CA7411">
        <w:trPr>
          <w:trHeight w:hRule="exact" w:val="340"/>
        </w:trPr>
        <w:tc>
          <w:tcPr>
            <w:tcW w:w="1063" w:type="pct"/>
            <w:vAlign w:val="center"/>
          </w:tcPr>
          <w:p w14:paraId="056ED30C" w14:textId="6FE14F97" w:rsidR="00CA7411" w:rsidRDefault="00CA7411" w:rsidP="00606094">
            <w:pPr>
              <w:spacing w:before="0" w:after="0" w:line="240" w:lineRule="auto"/>
            </w:pPr>
            <w:r>
              <w:t>Italy</w:t>
            </w:r>
          </w:p>
        </w:tc>
        <w:tc>
          <w:tcPr>
            <w:tcW w:w="1065" w:type="pct"/>
            <w:vAlign w:val="center"/>
          </w:tcPr>
          <w:p w14:paraId="07A3269D" w14:textId="3F3A0790"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28</w:t>
            </w:r>
          </w:p>
        </w:tc>
        <w:tc>
          <w:tcPr>
            <w:tcW w:w="901" w:type="pct"/>
            <w:vAlign w:val="center"/>
          </w:tcPr>
          <w:p w14:paraId="190D11CE" w14:textId="6BC4154B"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7,586</w:t>
            </w:r>
          </w:p>
        </w:tc>
        <w:tc>
          <w:tcPr>
            <w:tcW w:w="986" w:type="pct"/>
            <w:vAlign w:val="center"/>
          </w:tcPr>
          <w:p w14:paraId="2570CB3A" w14:textId="74AF8B7B"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112</w:t>
            </w:r>
          </w:p>
        </w:tc>
        <w:tc>
          <w:tcPr>
            <w:tcW w:w="985" w:type="pct"/>
            <w:vAlign w:val="center"/>
          </w:tcPr>
          <w:p w14:paraId="73313D2B" w14:textId="42C46B33" w:rsidR="00CA7411" w:rsidRPr="00606094" w:rsidRDefault="00CA7411" w:rsidP="00606094">
            <w:pPr>
              <w:spacing w:before="0" w:after="0" w:line="240" w:lineRule="auto"/>
              <w:jc w:val="center"/>
              <w:rPr>
                <w:rFonts w:asciiTheme="majorHAnsi" w:hAnsiTheme="majorHAnsi"/>
              </w:rPr>
            </w:pPr>
            <w:r w:rsidRPr="00606094">
              <w:rPr>
                <w:rFonts w:asciiTheme="majorHAnsi" w:hAnsiTheme="majorHAnsi"/>
                <w:color w:val="000000"/>
              </w:rPr>
              <w:t>68</w:t>
            </w:r>
          </w:p>
        </w:tc>
      </w:tr>
      <w:tr w:rsidR="00CA7411" w:rsidRPr="001072F1" w14:paraId="72B0F8BE" w14:textId="77FE4735" w:rsidTr="00CA7411">
        <w:trPr>
          <w:trHeight w:hRule="exact" w:val="457"/>
        </w:trPr>
        <w:tc>
          <w:tcPr>
            <w:tcW w:w="1063" w:type="pct"/>
            <w:vAlign w:val="center"/>
          </w:tcPr>
          <w:p w14:paraId="15DF3570" w14:textId="404325B1" w:rsidR="00CA7411" w:rsidRPr="001072F1" w:rsidRDefault="00CA7411" w:rsidP="00606094">
            <w:pPr>
              <w:spacing w:before="0" w:after="0" w:line="240" w:lineRule="auto"/>
              <w:rPr>
                <w:b/>
                <w:bCs/>
              </w:rPr>
            </w:pPr>
            <w:r w:rsidRPr="001072F1">
              <w:rPr>
                <w:b/>
                <w:bCs/>
              </w:rPr>
              <w:t>Total</w:t>
            </w:r>
            <w:r>
              <w:rPr>
                <w:b/>
                <w:bCs/>
              </w:rPr>
              <w:t>*</w:t>
            </w:r>
          </w:p>
        </w:tc>
        <w:tc>
          <w:tcPr>
            <w:tcW w:w="1065" w:type="pct"/>
            <w:vAlign w:val="center"/>
          </w:tcPr>
          <w:p w14:paraId="3523E5BA" w14:textId="0A7832D7" w:rsidR="00CA7411" w:rsidRPr="001072F1" w:rsidRDefault="00CA7411" w:rsidP="00606094">
            <w:pPr>
              <w:spacing w:before="0" w:after="0" w:line="240" w:lineRule="auto"/>
              <w:jc w:val="center"/>
              <w:rPr>
                <w:b/>
                <w:bCs/>
              </w:rPr>
            </w:pPr>
            <w:r>
              <w:rPr>
                <w:b/>
                <w:bCs/>
              </w:rPr>
              <w:t>3,239</w:t>
            </w:r>
          </w:p>
        </w:tc>
        <w:tc>
          <w:tcPr>
            <w:tcW w:w="901" w:type="pct"/>
            <w:vAlign w:val="center"/>
          </w:tcPr>
          <w:p w14:paraId="28A55609" w14:textId="6EE36EE7" w:rsidR="00CA7411" w:rsidRPr="001072F1" w:rsidRDefault="00CA7411" w:rsidP="00606094">
            <w:pPr>
              <w:spacing w:before="0" w:after="0" w:line="240" w:lineRule="auto"/>
              <w:jc w:val="center"/>
              <w:rPr>
                <w:b/>
                <w:bCs/>
              </w:rPr>
            </w:pPr>
            <w:r w:rsidRPr="001072F1">
              <w:rPr>
                <w:b/>
                <w:bCs/>
              </w:rPr>
              <w:t>$</w:t>
            </w:r>
            <w:r>
              <w:rPr>
                <w:b/>
                <w:bCs/>
              </w:rPr>
              <w:t>3,383</w:t>
            </w:r>
          </w:p>
        </w:tc>
        <w:tc>
          <w:tcPr>
            <w:tcW w:w="986" w:type="pct"/>
            <w:vAlign w:val="center"/>
          </w:tcPr>
          <w:p w14:paraId="69E26C63" w14:textId="450B6C03" w:rsidR="00CA7411" w:rsidRPr="001072F1" w:rsidRDefault="00CA7411" w:rsidP="00606094">
            <w:pPr>
              <w:spacing w:before="0" w:after="0" w:line="240" w:lineRule="auto"/>
              <w:jc w:val="center"/>
              <w:rPr>
                <w:b/>
                <w:bCs/>
              </w:rPr>
            </w:pPr>
            <w:r>
              <w:rPr>
                <w:b/>
                <w:bCs/>
              </w:rPr>
              <w:t>26</w:t>
            </w:r>
          </w:p>
        </w:tc>
        <w:tc>
          <w:tcPr>
            <w:tcW w:w="985" w:type="pct"/>
            <w:vAlign w:val="center"/>
          </w:tcPr>
          <w:p w14:paraId="2E64F8FE" w14:textId="4AFBB7E1" w:rsidR="00CA7411" w:rsidRPr="001072F1" w:rsidRDefault="00CA7411" w:rsidP="00606094">
            <w:pPr>
              <w:spacing w:before="0" w:after="0" w:line="240" w:lineRule="auto"/>
              <w:jc w:val="center"/>
              <w:rPr>
                <w:b/>
                <w:bCs/>
              </w:rPr>
            </w:pPr>
            <w:r w:rsidRPr="001072F1">
              <w:rPr>
                <w:b/>
                <w:bCs/>
              </w:rPr>
              <w:t>$</w:t>
            </w:r>
            <w:r>
              <w:rPr>
                <w:b/>
                <w:bCs/>
              </w:rPr>
              <w:t>131</w:t>
            </w:r>
          </w:p>
        </w:tc>
      </w:tr>
    </w:tbl>
    <w:p w14:paraId="50398FE6" w14:textId="6B995BA8" w:rsidR="002E0D4E" w:rsidRDefault="001F1A1F" w:rsidP="00C57213">
      <w:pPr>
        <w:pStyle w:val="Heading4"/>
        <w:rPr>
          <w:lang w:eastAsia="zh-CN"/>
        </w:rPr>
      </w:pPr>
      <w:r>
        <w:rPr>
          <w:lang w:eastAsia="zh-CN"/>
        </w:rPr>
        <w:t>W</w:t>
      </w:r>
      <w:r w:rsidR="00C57213">
        <w:rPr>
          <w:lang w:eastAsia="zh-CN"/>
        </w:rPr>
        <w:t>orking holiday makers</w:t>
      </w:r>
      <w:r w:rsidR="001422FF">
        <w:rPr>
          <w:lang w:eastAsia="zh-CN"/>
        </w:rPr>
        <w:t xml:space="preserve"> </w:t>
      </w:r>
      <w:r w:rsidR="00770956">
        <w:rPr>
          <w:lang w:eastAsia="zh-CN"/>
        </w:rPr>
        <w:t xml:space="preserve">contribute to </w:t>
      </w:r>
      <w:r>
        <w:rPr>
          <w:lang w:eastAsia="zh-CN"/>
        </w:rPr>
        <w:t>holiday travel spend</w:t>
      </w:r>
    </w:p>
    <w:p w14:paraId="0C3B524C" w14:textId="44EF649B" w:rsidR="009D6C13" w:rsidRDefault="003B6185" w:rsidP="003B6185">
      <w:pPr>
        <w:rPr>
          <w:lang w:eastAsia="zh-CN"/>
        </w:rPr>
      </w:pPr>
      <w:r>
        <w:rPr>
          <w:lang w:eastAsia="zh-CN"/>
        </w:rPr>
        <w:t>Holiday visitors from Italy had the</w:t>
      </w:r>
      <w:r w:rsidR="00BF30D3">
        <w:rPr>
          <w:lang w:eastAsia="zh-CN"/>
        </w:rPr>
        <w:t xml:space="preserve"> longest average trip length and</w:t>
      </w:r>
      <w:r>
        <w:rPr>
          <w:lang w:eastAsia="zh-CN"/>
        </w:rPr>
        <w:t xml:space="preserve"> lowest spend per night in 2024</w:t>
      </w:r>
      <w:r w:rsidR="002E0D4E">
        <w:rPr>
          <w:lang w:eastAsia="zh-CN"/>
        </w:rPr>
        <w:t xml:space="preserve"> (Table 3)</w:t>
      </w:r>
      <w:r w:rsidR="00BF30D3">
        <w:rPr>
          <w:lang w:eastAsia="zh-CN"/>
        </w:rPr>
        <w:t>.</w:t>
      </w:r>
      <w:r w:rsidR="00462D1E">
        <w:rPr>
          <w:lang w:eastAsia="zh-CN"/>
        </w:rPr>
        <w:t xml:space="preserve"> Interestingly, h</w:t>
      </w:r>
      <w:r w:rsidR="00BF30D3">
        <w:rPr>
          <w:lang w:eastAsia="zh-CN"/>
        </w:rPr>
        <w:t>alf of the holiday visitors from Italy in 2024 reported being on a working holiday visa</w:t>
      </w:r>
      <w:r w:rsidR="00462D1E">
        <w:rPr>
          <w:lang w:eastAsia="zh-CN"/>
        </w:rPr>
        <w:t xml:space="preserve">, which </w:t>
      </w:r>
      <w:r w:rsidR="005E6649">
        <w:rPr>
          <w:lang w:eastAsia="zh-CN"/>
        </w:rPr>
        <w:t xml:space="preserve">contributed to </w:t>
      </w:r>
      <w:r w:rsidR="004D7AB3">
        <w:rPr>
          <w:lang w:eastAsia="zh-CN"/>
        </w:rPr>
        <w:t xml:space="preserve">the </w:t>
      </w:r>
      <w:r w:rsidR="005E6649">
        <w:rPr>
          <w:lang w:eastAsia="zh-CN"/>
        </w:rPr>
        <w:t xml:space="preserve">lower </w:t>
      </w:r>
      <w:r w:rsidR="0058607F">
        <w:rPr>
          <w:lang w:eastAsia="zh-CN"/>
        </w:rPr>
        <w:t xml:space="preserve">estimated </w:t>
      </w:r>
      <w:r w:rsidR="004D7AB3">
        <w:rPr>
          <w:lang w:eastAsia="zh-CN"/>
        </w:rPr>
        <w:t xml:space="preserve">average age of visitors from Italy </w:t>
      </w:r>
      <w:r w:rsidR="003F4529">
        <w:rPr>
          <w:lang w:eastAsia="zh-CN"/>
        </w:rPr>
        <w:t>(34 years for Italian holiday</w:t>
      </w:r>
      <w:r w:rsidR="003047B2">
        <w:rPr>
          <w:lang w:eastAsia="zh-CN"/>
        </w:rPr>
        <w:t xml:space="preserve"> travellers</w:t>
      </w:r>
      <w:r w:rsidR="003F4529">
        <w:rPr>
          <w:lang w:eastAsia="zh-CN"/>
        </w:rPr>
        <w:t xml:space="preserve"> compared with 42 years for all international </w:t>
      </w:r>
      <w:r w:rsidR="003047B2">
        <w:rPr>
          <w:lang w:eastAsia="zh-CN"/>
        </w:rPr>
        <w:t xml:space="preserve">holiday </w:t>
      </w:r>
      <w:r w:rsidR="003F4529">
        <w:rPr>
          <w:lang w:eastAsia="zh-CN"/>
        </w:rPr>
        <w:t>travellers)</w:t>
      </w:r>
      <w:r w:rsidR="00BF30D3">
        <w:rPr>
          <w:lang w:eastAsia="zh-CN"/>
        </w:rPr>
        <w:t>.</w:t>
      </w:r>
      <w:r w:rsidR="003047B2">
        <w:rPr>
          <w:lang w:eastAsia="zh-CN"/>
        </w:rPr>
        <w:t xml:space="preserve"> In contrast, the</w:t>
      </w:r>
      <w:r w:rsidR="0058607F">
        <w:rPr>
          <w:lang w:eastAsia="zh-CN"/>
        </w:rPr>
        <w:t xml:space="preserve"> estimated</w:t>
      </w:r>
      <w:r w:rsidR="003047B2">
        <w:rPr>
          <w:lang w:eastAsia="zh-CN"/>
        </w:rPr>
        <w:t xml:space="preserve"> average age of travellers from the USA</w:t>
      </w:r>
      <w:r w:rsidR="006E5BDA">
        <w:rPr>
          <w:lang w:eastAsia="zh-CN"/>
        </w:rPr>
        <w:t xml:space="preserve"> – which was a high spend market – was </w:t>
      </w:r>
      <w:r w:rsidR="003047B2">
        <w:rPr>
          <w:lang w:eastAsia="zh-CN"/>
        </w:rPr>
        <w:t>much higher than the average</w:t>
      </w:r>
      <w:r w:rsidR="009D6C13">
        <w:rPr>
          <w:lang w:eastAsia="zh-CN"/>
        </w:rPr>
        <w:t xml:space="preserve"> at 50 years old. </w:t>
      </w:r>
    </w:p>
    <w:p w14:paraId="7CC7EA88" w14:textId="073F3D4F" w:rsidR="003B6185" w:rsidRDefault="009D6C13" w:rsidP="003B6185">
      <w:pPr>
        <w:rPr>
          <w:lang w:eastAsia="zh-CN"/>
        </w:rPr>
      </w:pPr>
      <w:r>
        <w:rPr>
          <w:lang w:eastAsia="zh-CN"/>
        </w:rPr>
        <w:t xml:space="preserve">The average age of traveller was low </w:t>
      </w:r>
      <w:r w:rsidR="00D72B40">
        <w:rPr>
          <w:lang w:eastAsia="zh-CN"/>
        </w:rPr>
        <w:t xml:space="preserve">also for Taiwan, Vietnam, Indonesia, Germany and France. </w:t>
      </w:r>
      <w:r w:rsidR="00506376">
        <w:rPr>
          <w:lang w:eastAsia="zh-CN"/>
        </w:rPr>
        <w:t xml:space="preserve">With </w:t>
      </w:r>
      <w:r w:rsidR="00080706">
        <w:rPr>
          <w:lang w:eastAsia="zh-CN"/>
        </w:rPr>
        <w:t xml:space="preserve">working holiday visa holders a sizeable share of holiday visitors from Taiwan (29%) and </w:t>
      </w:r>
      <w:r w:rsidR="00A07FEF">
        <w:rPr>
          <w:lang w:eastAsia="zh-CN"/>
        </w:rPr>
        <w:t>France (41%)</w:t>
      </w:r>
      <w:r w:rsidR="00080706">
        <w:rPr>
          <w:lang w:eastAsia="zh-CN"/>
        </w:rPr>
        <w:t xml:space="preserve">. </w:t>
      </w:r>
      <w:r w:rsidR="00BF30D3">
        <w:rPr>
          <w:lang w:eastAsia="zh-CN"/>
        </w:rPr>
        <w:t xml:space="preserve"> </w:t>
      </w:r>
    </w:p>
    <w:p w14:paraId="1218D41C" w14:textId="77777777" w:rsidR="009332EC" w:rsidRPr="009332EC" w:rsidRDefault="009332EC" w:rsidP="009332EC">
      <w:pPr>
        <w:rPr>
          <w:lang w:eastAsia="zh-CN"/>
        </w:rPr>
      </w:pPr>
      <w:r w:rsidRPr="009332EC">
        <w:rPr>
          <w:lang w:eastAsia="zh-CN"/>
        </w:rPr>
        <w:t xml:space="preserve">According to TRA’s International Visitor Survey (IVS) data, 7% of international holiday visitors to Australia reported being on a working holiday visa in 2024. </w:t>
      </w:r>
    </w:p>
    <w:p w14:paraId="5D8DE35A" w14:textId="77777777" w:rsidR="009332EC" w:rsidRPr="009332EC" w:rsidRDefault="009332EC" w:rsidP="009332EC">
      <w:pPr>
        <w:rPr>
          <w:lang w:eastAsia="zh-CN"/>
        </w:rPr>
      </w:pPr>
      <w:r w:rsidRPr="009332EC">
        <w:rPr>
          <w:lang w:eastAsia="zh-CN"/>
        </w:rPr>
        <w:t xml:space="preserve">The number of international holiday travellers that reported being on a working holiday visa increased by 40% to 234,000 in 2024. This group increased spend by 66% to $2.5 billion in 2024. As a result, the average spend in Australia by working holidaymakers increased by 19% in 2024 to $10,714 per trip. </w:t>
      </w:r>
    </w:p>
    <w:p w14:paraId="2757E1D7" w14:textId="77777777" w:rsidR="009332EC" w:rsidRPr="009332EC" w:rsidRDefault="009332EC" w:rsidP="009332EC">
      <w:pPr>
        <w:rPr>
          <w:lang w:eastAsia="zh-CN"/>
        </w:rPr>
      </w:pPr>
      <w:r w:rsidRPr="009332EC">
        <w:rPr>
          <w:lang w:eastAsia="zh-CN"/>
        </w:rPr>
        <w:t xml:space="preserve">In contrast, total spend by other international holidaymakers in Australia increased by 24% in 2024 to $8.5 billion, and average trip spend by these other international holidaymakers in Australia fell by 1% in 2024 to $2,812 per trip. </w:t>
      </w:r>
    </w:p>
    <w:p w14:paraId="2289F63E" w14:textId="79CFF2D9" w:rsidR="009332EC" w:rsidRDefault="009332EC" w:rsidP="008B531A">
      <w:pPr>
        <w:rPr>
          <w:lang w:eastAsia="zh-CN"/>
        </w:rPr>
      </w:pPr>
      <w:r w:rsidRPr="009332EC">
        <w:rPr>
          <w:lang w:eastAsia="zh-CN"/>
        </w:rPr>
        <w:t>International working holidaymakers contributed one-third of the increase in holiday spend in capital cities in 2024, but they contributed more than half of the increase in spend in regional Australia.</w:t>
      </w:r>
    </w:p>
    <w:p w14:paraId="2671A611" w14:textId="6DEFA9C5" w:rsidR="00342F3D" w:rsidRDefault="009C2FD7" w:rsidP="00342F3D">
      <w:pPr>
        <w:pStyle w:val="Heading4"/>
        <w:rPr>
          <w:lang w:eastAsia="zh-CN"/>
        </w:rPr>
      </w:pPr>
      <w:r>
        <w:rPr>
          <w:lang w:eastAsia="zh-CN"/>
        </w:rPr>
        <w:t>V</w:t>
      </w:r>
      <w:r w:rsidR="00342F3D">
        <w:rPr>
          <w:lang w:eastAsia="zh-CN"/>
        </w:rPr>
        <w:t>isiting friends and relatives</w:t>
      </w:r>
    </w:p>
    <w:p w14:paraId="59F2341F" w14:textId="77777777" w:rsidR="00E62447" w:rsidRPr="00E62447" w:rsidRDefault="00E62447" w:rsidP="00E62447">
      <w:pPr>
        <w:rPr>
          <w:lang w:eastAsia="zh-CN"/>
        </w:rPr>
      </w:pPr>
      <w:r w:rsidRPr="00E62447">
        <w:rPr>
          <w:lang w:eastAsia="zh-CN"/>
        </w:rPr>
        <w:t>While international travel to Australia for VFR accounted for more than one-third of trips in 2024, it only equated to 15% of visitor spend in Australia.</w:t>
      </w:r>
    </w:p>
    <w:p w14:paraId="3BC67B61" w14:textId="77777777" w:rsidR="00E62447" w:rsidRPr="00E62447" w:rsidRDefault="00E62447" w:rsidP="00E62447">
      <w:pPr>
        <w:rPr>
          <w:lang w:eastAsia="zh-CN"/>
        </w:rPr>
      </w:pPr>
      <w:r w:rsidRPr="00E62447">
        <w:rPr>
          <w:lang w:eastAsia="zh-CN"/>
        </w:rPr>
        <w:t>VFR travel is typically a low average spend category of travel; average spend per night in Australia in 2024 was $61. This is because the host family or friends typically provide accommodation and organise and pay for some activities and meals.</w:t>
      </w:r>
    </w:p>
    <w:p w14:paraId="48780437" w14:textId="77777777" w:rsidR="00E62447" w:rsidRPr="00E62447" w:rsidRDefault="00E62447" w:rsidP="00E62447">
      <w:pPr>
        <w:rPr>
          <w:lang w:eastAsia="zh-CN"/>
        </w:rPr>
      </w:pPr>
      <w:r w:rsidRPr="00E62447">
        <w:rPr>
          <w:lang w:eastAsia="zh-CN"/>
        </w:rPr>
        <w:lastRenderedPageBreak/>
        <w:t>However, there are some source markets with a higher average spend per night. VFR travellers from Singapore ($165 per night), Hong Kong ($138), Japan ($125) and New Zealand ($102) had the highest average spend per night on their VFR trips to Australia in 2024.</w:t>
      </w:r>
    </w:p>
    <w:p w14:paraId="3F4692DD" w14:textId="77777777" w:rsidR="00E62447" w:rsidRPr="00E62447" w:rsidRDefault="00E62447" w:rsidP="00E62447">
      <w:pPr>
        <w:rPr>
          <w:lang w:eastAsia="zh-CN"/>
        </w:rPr>
      </w:pPr>
      <w:r w:rsidRPr="00E62447">
        <w:rPr>
          <w:lang w:eastAsia="zh-CN"/>
        </w:rPr>
        <w:t>VFR travellers typically spend a lower share on accommodation and tours than the average holiday traveller, but a higher share on shopping and education fees.</w:t>
      </w:r>
    </w:p>
    <w:p w14:paraId="00C06818" w14:textId="77777777" w:rsidR="002964B3" w:rsidRDefault="002964B3" w:rsidP="00C45D8B">
      <w:pPr>
        <w:rPr>
          <w:lang w:eastAsia="zh-CN"/>
        </w:rPr>
      </w:pPr>
    </w:p>
    <w:p w14:paraId="37FFAD23" w14:textId="17B791AC" w:rsidR="009C2FD7" w:rsidRDefault="009C2FD7" w:rsidP="009C2FD7">
      <w:pPr>
        <w:pStyle w:val="Heading4"/>
        <w:rPr>
          <w:lang w:eastAsia="zh-CN"/>
        </w:rPr>
      </w:pPr>
      <w:r>
        <w:rPr>
          <w:lang w:eastAsia="zh-CN"/>
        </w:rPr>
        <w:t>International business travel</w:t>
      </w:r>
    </w:p>
    <w:p w14:paraId="7E65FF15" w14:textId="77777777" w:rsidR="000D3B6A" w:rsidRPr="000D3B6A" w:rsidRDefault="000D3B6A" w:rsidP="000D3B6A">
      <w:pPr>
        <w:rPr>
          <w:lang w:eastAsia="zh-CN"/>
        </w:rPr>
      </w:pPr>
      <w:r w:rsidRPr="000D3B6A">
        <w:rPr>
          <w:lang w:eastAsia="zh-CN"/>
        </w:rPr>
        <w:t xml:space="preserve">The international business travel sector moderated in 2024. The number of international business trips to Australia increased by 7% (53,000 more business trips) in 2024, which was less than half the growth rate of total international arrivals. </w:t>
      </w:r>
    </w:p>
    <w:p w14:paraId="29F7B760" w14:textId="77777777" w:rsidR="000D3B6A" w:rsidRPr="000D3B6A" w:rsidRDefault="000D3B6A" w:rsidP="000D3B6A">
      <w:pPr>
        <w:rPr>
          <w:lang w:eastAsia="zh-CN"/>
        </w:rPr>
      </w:pPr>
      <w:r w:rsidRPr="000D3B6A">
        <w:rPr>
          <w:lang w:eastAsia="zh-CN"/>
        </w:rPr>
        <w:t xml:space="preserve">Total business trip spend in Australia fell by 3% in 2024. Moreover, the average spend per night fell by 17% – from $238 per night in 2023 to $197 per night in 2024. </w:t>
      </w:r>
    </w:p>
    <w:p w14:paraId="2647A8E8" w14:textId="54283277" w:rsidR="00BC449D" w:rsidRPr="00BC449D" w:rsidRDefault="000D3B6A" w:rsidP="00BC449D">
      <w:pPr>
        <w:rPr>
          <w:lang w:eastAsia="zh-CN"/>
        </w:rPr>
      </w:pPr>
      <w:r w:rsidRPr="000D3B6A">
        <w:rPr>
          <w:lang w:eastAsia="zh-CN"/>
        </w:rPr>
        <w:t>While weak global economic conditions and increased scrutiny of travel budgets likely contributed to the decline in business spend, some categories continued to see spend growth, such as entertainment</w:t>
      </w:r>
      <w:r w:rsidR="00BC449D">
        <w:rPr>
          <w:lang w:eastAsia="zh-CN"/>
        </w:rPr>
        <w:t xml:space="preserve"> and accommodation</w:t>
      </w:r>
      <w:r w:rsidRPr="000D3B6A">
        <w:rPr>
          <w:lang w:eastAsia="zh-CN"/>
        </w:rPr>
        <w:t>.</w:t>
      </w:r>
      <w:r w:rsidR="004756B5" w:rsidRPr="004756B5">
        <w:rPr>
          <w:lang w:eastAsia="zh-CN"/>
        </w:rPr>
        <w:t xml:space="preserve"> </w:t>
      </w:r>
      <w:r w:rsidR="00F91616" w:rsidRPr="00BC449D">
        <w:rPr>
          <w:lang w:eastAsia="zh-CN"/>
        </w:rPr>
        <w:t xml:space="preserve">The increase in accommodation spend was the largest contributor to growth in total business spend in 2024. </w:t>
      </w:r>
      <w:r w:rsidR="00F91616" w:rsidRPr="00F91616">
        <w:rPr>
          <w:lang w:eastAsia="zh-CN"/>
        </w:rPr>
        <w:t>Accommodation</w:t>
      </w:r>
      <w:r w:rsidR="00F91616" w:rsidRPr="00BC449D">
        <w:rPr>
          <w:lang w:eastAsia="zh-CN"/>
        </w:rPr>
        <w:t xml:space="preserve"> was the largest category of business spend (35%) in 2024, while entertainment</w:t>
      </w:r>
      <w:r w:rsidR="00F91616" w:rsidRPr="00BC449D">
        <w:rPr>
          <w:b/>
          <w:bCs/>
          <w:lang w:eastAsia="zh-CN"/>
        </w:rPr>
        <w:t xml:space="preserve"> </w:t>
      </w:r>
      <w:r w:rsidR="00F91616" w:rsidRPr="00BC449D">
        <w:rPr>
          <w:lang w:eastAsia="zh-CN"/>
        </w:rPr>
        <w:t>was the smallest (1%).</w:t>
      </w:r>
      <w:r w:rsidR="00F91616">
        <w:rPr>
          <w:lang w:eastAsia="zh-CN"/>
        </w:rPr>
        <w:t xml:space="preserve"> </w:t>
      </w:r>
      <w:r w:rsidR="004756B5">
        <w:rPr>
          <w:lang w:eastAsia="zh-CN"/>
        </w:rPr>
        <w:t>By category of spend, ‘other’ expenditure drove the decline in business spend in the year</w:t>
      </w:r>
      <w:r w:rsidR="00F91616">
        <w:rPr>
          <w:lang w:eastAsia="zh-CN"/>
        </w:rPr>
        <w:t xml:space="preserve"> (Figure </w:t>
      </w:r>
      <w:r w:rsidR="005C7E52">
        <w:rPr>
          <w:lang w:eastAsia="zh-CN"/>
        </w:rPr>
        <w:t>11</w:t>
      </w:r>
      <w:r w:rsidR="00F91616">
        <w:rPr>
          <w:lang w:eastAsia="zh-CN"/>
        </w:rPr>
        <w:t>)</w:t>
      </w:r>
      <w:r w:rsidR="004756B5">
        <w:rPr>
          <w:lang w:eastAsia="zh-CN"/>
        </w:rPr>
        <w:t>.</w:t>
      </w:r>
      <w:r w:rsidR="00BC449D">
        <w:rPr>
          <w:lang w:eastAsia="zh-CN"/>
        </w:rPr>
        <w:t xml:space="preserve"> </w:t>
      </w:r>
    </w:p>
    <w:p w14:paraId="44F4FC8F" w14:textId="492B2C9C" w:rsidR="006B47E9" w:rsidRDefault="006B47E9" w:rsidP="006B47E9">
      <w:pPr>
        <w:pStyle w:val="ListBullet"/>
        <w:keepNext/>
        <w:numPr>
          <w:ilvl w:val="0"/>
          <w:numId w:val="0"/>
        </w:numPr>
        <w:spacing w:line="300" w:lineRule="atLeast"/>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5C7E52">
        <w:rPr>
          <w:rFonts w:ascii="Verdana" w:eastAsiaTheme="minorHAnsi" w:hAnsi="Verdana"/>
          <w:b/>
          <w:bCs/>
          <w:noProof/>
          <w:color w:val="300050" w:themeColor="text2"/>
          <w:lang w:eastAsia="en-US"/>
        </w:rPr>
        <w:t>11</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Pr="00F9326C">
        <w:rPr>
          <w:rFonts w:ascii="Verdana" w:eastAsiaTheme="minorHAnsi" w:hAnsi="Verdana"/>
          <w:color w:val="300050" w:themeColor="text2"/>
          <w:lang w:eastAsia="en-US"/>
        </w:rPr>
        <w:t xml:space="preserve">Change in </w:t>
      </w:r>
      <w:r>
        <w:rPr>
          <w:rFonts w:ascii="Verdana" w:eastAsiaTheme="minorHAnsi" w:hAnsi="Verdana"/>
          <w:color w:val="300050" w:themeColor="text2"/>
          <w:lang w:eastAsia="en-US"/>
        </w:rPr>
        <w:t xml:space="preserve">spend on international </w:t>
      </w:r>
      <w:r w:rsidR="00A93CB4">
        <w:rPr>
          <w:rFonts w:ascii="Verdana" w:eastAsiaTheme="minorHAnsi" w:hAnsi="Verdana"/>
          <w:color w:val="300050" w:themeColor="text2"/>
          <w:lang w:eastAsia="en-US"/>
        </w:rPr>
        <w:t>business</w:t>
      </w:r>
      <w:r>
        <w:rPr>
          <w:rFonts w:ascii="Verdana" w:eastAsiaTheme="minorHAnsi" w:hAnsi="Verdana"/>
          <w:color w:val="300050" w:themeColor="text2"/>
          <w:lang w:eastAsia="en-US"/>
        </w:rPr>
        <w:t xml:space="preserve"> trips by category in Australia in 2024 compared with 2023.</w:t>
      </w:r>
    </w:p>
    <w:p w14:paraId="6A6878F3" w14:textId="4B48F382" w:rsidR="006B47E9" w:rsidRDefault="005F40EE" w:rsidP="00A93CB4">
      <w:pPr>
        <w:spacing w:line="240" w:lineRule="atLeast"/>
        <w:jc w:val="center"/>
        <w:rPr>
          <w:lang w:eastAsia="zh-CN"/>
        </w:rPr>
      </w:pPr>
      <w:r w:rsidRPr="005F40EE">
        <w:rPr>
          <w:noProof/>
        </w:rPr>
        <w:drawing>
          <wp:inline distT="0" distB="0" distL="0" distR="0" wp14:anchorId="1B3F451F" wp14:editId="47813C12">
            <wp:extent cx="4413600" cy="3693600"/>
            <wp:effectExtent l="0" t="0" r="6350" b="2540"/>
            <wp:docPr id="891729978" name="Picture 1" descr="This bar chart shows the change in spend on international business trips by category of spend between 2023 and 2024 (as a %). There was an increase in spending on 3 categories: entertainment, accommodation, and transportation. There was a decrease in spending on 5 categories: airfares, food and drinks, tours, shopping, and others. Overall, international business spends declined by 3% in 2024 compared wit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29978" name="Picture 1" descr="This bar chart shows the change in spend on international business trips by category of spend between 2023 and 2024 (as a %). There was an increase in spending on 3 categories: entertainment, accommodation, and transportation. There was a decrease in spending on 5 categories: airfares, food and drinks, tours, shopping, and others. Overall, international business spends declined by 3% in 2024 compared with 2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3600" cy="3693600"/>
                    </a:xfrm>
                    <a:prstGeom prst="rect">
                      <a:avLst/>
                    </a:prstGeom>
                    <a:noFill/>
                    <a:ln>
                      <a:noFill/>
                    </a:ln>
                  </pic:spPr>
                </pic:pic>
              </a:graphicData>
            </a:graphic>
          </wp:inline>
        </w:drawing>
      </w:r>
    </w:p>
    <w:p w14:paraId="333B62EB" w14:textId="77777777" w:rsidR="00F91616" w:rsidRPr="000D3B6A" w:rsidRDefault="00F91616" w:rsidP="00F91616">
      <w:pPr>
        <w:rPr>
          <w:lang w:eastAsia="zh-CN"/>
        </w:rPr>
      </w:pPr>
      <w:r w:rsidRPr="000D3B6A">
        <w:rPr>
          <w:lang w:eastAsia="zh-CN"/>
        </w:rPr>
        <w:t xml:space="preserve">International business travel to Australia varied by source market. In 2024, the markets that contributed most to growth in international business spend were: </w:t>
      </w:r>
    </w:p>
    <w:p w14:paraId="084E903D" w14:textId="77777777" w:rsidR="00F91616" w:rsidRPr="000D3B6A" w:rsidRDefault="00F91616" w:rsidP="00F91616">
      <w:pPr>
        <w:pStyle w:val="NumberedList"/>
        <w:rPr>
          <w:lang w:eastAsia="zh-CN"/>
        </w:rPr>
      </w:pPr>
      <w:r w:rsidRPr="000D3B6A">
        <w:rPr>
          <w:lang w:eastAsia="zh-CN"/>
        </w:rPr>
        <w:lastRenderedPageBreak/>
        <w:t xml:space="preserve">Japan </w:t>
      </w:r>
    </w:p>
    <w:p w14:paraId="490036D9" w14:textId="77777777" w:rsidR="00F91616" w:rsidRPr="000D3B6A" w:rsidRDefault="00F91616" w:rsidP="00F91616">
      <w:pPr>
        <w:pStyle w:val="NumberedList"/>
        <w:rPr>
          <w:lang w:eastAsia="zh-CN"/>
        </w:rPr>
      </w:pPr>
      <w:r w:rsidRPr="000D3B6A">
        <w:rPr>
          <w:lang w:eastAsia="zh-CN"/>
        </w:rPr>
        <w:t>United Kingdom</w:t>
      </w:r>
    </w:p>
    <w:p w14:paraId="2844EFA3" w14:textId="77777777" w:rsidR="00F91616" w:rsidRPr="000D3B6A" w:rsidRDefault="00F91616" w:rsidP="00F91616">
      <w:pPr>
        <w:pStyle w:val="NumberedList"/>
        <w:rPr>
          <w:lang w:eastAsia="zh-CN"/>
        </w:rPr>
      </w:pPr>
      <w:r w:rsidRPr="000D3B6A">
        <w:rPr>
          <w:lang w:eastAsia="zh-CN"/>
        </w:rPr>
        <w:t>Vietnam</w:t>
      </w:r>
    </w:p>
    <w:p w14:paraId="77A9FAA8" w14:textId="77777777" w:rsidR="00F91616" w:rsidRPr="000D3B6A" w:rsidRDefault="00F91616" w:rsidP="00F91616">
      <w:pPr>
        <w:pStyle w:val="NumberedList"/>
        <w:rPr>
          <w:lang w:eastAsia="zh-CN"/>
        </w:rPr>
      </w:pPr>
      <w:r w:rsidRPr="000D3B6A">
        <w:rPr>
          <w:lang w:eastAsia="zh-CN"/>
        </w:rPr>
        <w:t xml:space="preserve">Indonesia </w:t>
      </w:r>
    </w:p>
    <w:p w14:paraId="4F01F2F2" w14:textId="77777777" w:rsidR="00F91616" w:rsidRPr="000D3B6A" w:rsidRDefault="00F91616" w:rsidP="00F91616">
      <w:pPr>
        <w:pStyle w:val="NumberedList"/>
        <w:rPr>
          <w:lang w:eastAsia="zh-CN"/>
        </w:rPr>
      </w:pPr>
      <w:r w:rsidRPr="000D3B6A">
        <w:rPr>
          <w:lang w:eastAsia="zh-CN"/>
        </w:rPr>
        <w:t xml:space="preserve">Singapore. </w:t>
      </w:r>
    </w:p>
    <w:p w14:paraId="18D207C1" w14:textId="77777777" w:rsidR="00F91616" w:rsidRPr="000D3B6A" w:rsidRDefault="00F91616" w:rsidP="00F91616">
      <w:pPr>
        <w:rPr>
          <w:lang w:eastAsia="zh-CN"/>
        </w:rPr>
      </w:pPr>
      <w:r w:rsidRPr="000D3B6A">
        <w:rPr>
          <w:lang w:eastAsia="zh-CN"/>
        </w:rPr>
        <w:t xml:space="preserve">Conversely, markets that reduced business spend in Australia in 2024 included the USA, India, New Zealand, Hong Kong and Taiwan. </w:t>
      </w:r>
    </w:p>
    <w:p w14:paraId="4D5439D4" w14:textId="77777777" w:rsidR="00F91616" w:rsidRDefault="00F91616" w:rsidP="00A93CB4">
      <w:pPr>
        <w:spacing w:line="240" w:lineRule="atLeast"/>
        <w:jc w:val="center"/>
        <w:rPr>
          <w:lang w:eastAsia="zh-CN"/>
        </w:rPr>
      </w:pPr>
    </w:p>
    <w:p w14:paraId="338AEB9D" w14:textId="77777777" w:rsidR="00EE3E60" w:rsidRDefault="00EE3E60" w:rsidP="00EE3E60">
      <w:pPr>
        <w:pStyle w:val="Quote"/>
        <w:rPr>
          <w:lang w:eastAsia="zh-CN"/>
        </w:rPr>
      </w:pPr>
      <w:r>
        <w:rPr>
          <w:lang w:eastAsia="zh-CN"/>
        </w:rPr>
        <w:t xml:space="preserve">Key insights: </w:t>
      </w:r>
    </w:p>
    <w:p w14:paraId="7A96913C" w14:textId="77777777" w:rsidR="001E0F0F" w:rsidRDefault="00BF2858" w:rsidP="00EE3E60">
      <w:pPr>
        <w:rPr>
          <w:lang w:eastAsia="zh-CN"/>
        </w:rPr>
      </w:pPr>
      <w:r>
        <w:rPr>
          <w:b/>
          <w:bCs/>
          <w:lang w:eastAsia="zh-CN"/>
        </w:rPr>
        <w:t>International</w:t>
      </w:r>
      <w:r w:rsidR="00EE3E60" w:rsidRPr="007B4CBB">
        <w:rPr>
          <w:b/>
          <w:bCs/>
          <w:lang w:eastAsia="zh-CN"/>
        </w:rPr>
        <w:t xml:space="preserve"> travel</w:t>
      </w:r>
      <w:r w:rsidR="00EE3E60">
        <w:rPr>
          <w:lang w:eastAsia="zh-CN"/>
        </w:rPr>
        <w:t xml:space="preserve"> </w:t>
      </w:r>
      <w:r>
        <w:rPr>
          <w:lang w:eastAsia="zh-CN"/>
        </w:rPr>
        <w:t xml:space="preserve">to Australia grew strongly in 2024. </w:t>
      </w:r>
      <w:r w:rsidR="00A04145">
        <w:rPr>
          <w:lang w:eastAsia="zh-CN"/>
        </w:rPr>
        <w:t xml:space="preserve">Travellers from </w:t>
      </w:r>
      <w:r w:rsidR="00131C56">
        <w:rPr>
          <w:lang w:eastAsia="zh-CN"/>
        </w:rPr>
        <w:t xml:space="preserve">China accounted for </w:t>
      </w:r>
      <w:r w:rsidR="00171122">
        <w:rPr>
          <w:lang w:eastAsia="zh-CN"/>
        </w:rPr>
        <w:t>25</w:t>
      </w:r>
      <w:r w:rsidR="00131C56">
        <w:rPr>
          <w:lang w:eastAsia="zh-CN"/>
        </w:rPr>
        <w:t>% of total spend in Australia in 2024, making them the most valuable source market</w:t>
      </w:r>
      <w:r w:rsidR="00590782">
        <w:rPr>
          <w:lang w:eastAsia="zh-CN"/>
        </w:rPr>
        <w:t xml:space="preserve"> ($8.1</w:t>
      </w:r>
      <w:r w:rsidR="005C593F">
        <w:rPr>
          <w:lang w:eastAsia="zh-CN"/>
        </w:rPr>
        <w:t> </w:t>
      </w:r>
      <w:r w:rsidR="00590782">
        <w:rPr>
          <w:lang w:eastAsia="zh-CN"/>
        </w:rPr>
        <w:t>billion out of total $32.9 billion spend)</w:t>
      </w:r>
      <w:r w:rsidR="00131C56">
        <w:rPr>
          <w:lang w:eastAsia="zh-CN"/>
        </w:rPr>
        <w:t xml:space="preserve">. </w:t>
      </w:r>
    </w:p>
    <w:p w14:paraId="2E77FF84" w14:textId="2D2ED976" w:rsidR="00131C56" w:rsidRDefault="009656B9" w:rsidP="00EE3E60">
      <w:pPr>
        <w:rPr>
          <w:lang w:eastAsia="zh-CN"/>
        </w:rPr>
      </w:pPr>
      <w:r>
        <w:rPr>
          <w:lang w:eastAsia="zh-CN"/>
        </w:rPr>
        <w:t>The most valuable type</w:t>
      </w:r>
      <w:r w:rsidR="005E1E94">
        <w:rPr>
          <w:lang w:eastAsia="zh-CN"/>
        </w:rPr>
        <w:t>s</w:t>
      </w:r>
      <w:r>
        <w:rPr>
          <w:lang w:eastAsia="zh-CN"/>
        </w:rPr>
        <w:t xml:space="preserve"> of international travel to Australia </w:t>
      </w:r>
      <w:r w:rsidR="005E1E94">
        <w:rPr>
          <w:lang w:eastAsia="zh-CN"/>
        </w:rPr>
        <w:t>are</w:t>
      </w:r>
      <w:r>
        <w:rPr>
          <w:lang w:eastAsia="zh-CN"/>
        </w:rPr>
        <w:t xml:space="preserve"> education and holiday trips.</w:t>
      </w:r>
      <w:r w:rsidR="001E0F0F">
        <w:rPr>
          <w:lang w:eastAsia="zh-CN"/>
        </w:rPr>
        <w:t xml:space="preserve"> Both these types of travel generated over $10 billion in </w:t>
      </w:r>
      <w:r w:rsidR="0014446E">
        <w:rPr>
          <w:lang w:eastAsia="zh-CN"/>
        </w:rPr>
        <w:t>spend in Australia in 2024. Short-term education travellers from China spent $5</w:t>
      </w:r>
      <w:r w:rsidR="00F9158D">
        <w:rPr>
          <w:lang w:eastAsia="zh-CN"/>
        </w:rPr>
        <w:t>.8</w:t>
      </w:r>
      <w:r w:rsidR="0014446E">
        <w:rPr>
          <w:lang w:eastAsia="zh-CN"/>
        </w:rPr>
        <w:t xml:space="preserve"> billion in Australia</w:t>
      </w:r>
      <w:r w:rsidR="000A4D69">
        <w:rPr>
          <w:lang w:eastAsia="zh-CN"/>
        </w:rPr>
        <w:t xml:space="preserve">. </w:t>
      </w:r>
      <w:r w:rsidR="0064760C">
        <w:rPr>
          <w:lang w:eastAsia="zh-CN"/>
        </w:rPr>
        <w:t xml:space="preserve">Around half of that was </w:t>
      </w:r>
      <w:r w:rsidR="005865C5">
        <w:rPr>
          <w:lang w:eastAsia="zh-CN"/>
        </w:rPr>
        <w:t xml:space="preserve">spent </w:t>
      </w:r>
      <w:r w:rsidR="0064760C">
        <w:rPr>
          <w:lang w:eastAsia="zh-CN"/>
        </w:rPr>
        <w:t xml:space="preserve">on education fees and around one-third went on </w:t>
      </w:r>
      <w:r w:rsidR="00CF458F">
        <w:rPr>
          <w:lang w:eastAsia="zh-CN"/>
        </w:rPr>
        <w:t xml:space="preserve">food, drink and </w:t>
      </w:r>
      <w:r w:rsidR="0064760C">
        <w:rPr>
          <w:lang w:eastAsia="zh-CN"/>
        </w:rPr>
        <w:t>accommodation</w:t>
      </w:r>
      <w:r w:rsidR="00CF458F">
        <w:rPr>
          <w:lang w:eastAsia="zh-CN"/>
        </w:rPr>
        <w:t>.</w:t>
      </w:r>
    </w:p>
    <w:p w14:paraId="71AFC97B" w14:textId="47069AC0" w:rsidR="00C1332C" w:rsidRDefault="00C1332C" w:rsidP="00EE3E60">
      <w:pPr>
        <w:rPr>
          <w:lang w:eastAsia="zh-CN"/>
        </w:rPr>
      </w:pPr>
      <w:r>
        <w:rPr>
          <w:lang w:eastAsia="zh-CN"/>
        </w:rPr>
        <w:t>New Zealand, the USA, China, the UK and South Korea were major holiday travel source markets for Australia in 2024.</w:t>
      </w:r>
      <w:r w:rsidR="009E671E">
        <w:rPr>
          <w:lang w:eastAsia="zh-CN"/>
        </w:rPr>
        <w:t xml:space="preserve"> The</w:t>
      </w:r>
      <w:r w:rsidR="0043027D">
        <w:rPr>
          <w:lang w:eastAsia="zh-CN"/>
        </w:rPr>
        <w:t>y</w:t>
      </w:r>
      <w:r w:rsidR="009E671E">
        <w:rPr>
          <w:lang w:eastAsia="zh-CN"/>
        </w:rPr>
        <w:t xml:space="preserve"> each generated around $1 billion in holiday spend in Australia</w:t>
      </w:r>
      <w:r>
        <w:rPr>
          <w:lang w:eastAsia="zh-CN"/>
        </w:rPr>
        <w:t xml:space="preserve"> </w:t>
      </w:r>
    </w:p>
    <w:p w14:paraId="598FAD8A" w14:textId="77777777" w:rsidR="0024588A" w:rsidRDefault="0024588A" w:rsidP="0024588A"/>
    <w:p w14:paraId="240F980B" w14:textId="16FD97B4" w:rsidR="00C917D8" w:rsidRPr="00E927C5" w:rsidRDefault="00C917D8" w:rsidP="00C917D8">
      <w:pPr>
        <w:spacing w:after="240" w:line="380" w:lineRule="atLeast"/>
        <w:ind w:left="567" w:right="45"/>
        <w:rPr>
          <w:color w:val="893B94" w:themeColor="accent1"/>
          <w:sz w:val="28"/>
          <w:szCs w:val="28"/>
          <w:lang w:eastAsia="zh-CN"/>
        </w:rPr>
      </w:pPr>
      <w:r w:rsidRPr="00E927C5">
        <w:rPr>
          <w:color w:val="893B94" w:themeColor="accent1"/>
          <w:sz w:val="28"/>
          <w:szCs w:val="28"/>
          <w:lang w:eastAsia="zh-CN"/>
        </w:rPr>
        <w:t xml:space="preserve">Case study: </w:t>
      </w:r>
      <w:r w:rsidR="002447DD">
        <w:rPr>
          <w:color w:val="893B94" w:themeColor="accent1"/>
          <w:sz w:val="28"/>
          <w:szCs w:val="28"/>
          <w:lang w:eastAsia="zh-CN"/>
        </w:rPr>
        <w:t>eco-certified</w:t>
      </w:r>
      <w:r w:rsidRPr="00E927C5">
        <w:rPr>
          <w:color w:val="893B94" w:themeColor="accent1"/>
          <w:sz w:val="28"/>
          <w:szCs w:val="28"/>
          <w:lang w:eastAsia="zh-CN"/>
        </w:rPr>
        <w:t xml:space="preserve"> tourism – </w:t>
      </w:r>
      <w:r w:rsidR="00705CF9">
        <w:rPr>
          <w:color w:val="893B94" w:themeColor="accent1"/>
          <w:sz w:val="28"/>
          <w:szCs w:val="28"/>
          <w:lang w:eastAsia="zh-CN"/>
        </w:rPr>
        <w:t>Cassowary Coast</w:t>
      </w:r>
    </w:p>
    <w:p w14:paraId="14C35F59" w14:textId="77777777" w:rsidR="00990134" w:rsidRPr="00990134" w:rsidRDefault="00990134" w:rsidP="00990134">
      <w:pPr>
        <w:ind w:left="567" w:right="45"/>
        <w:rPr>
          <w:lang w:eastAsia="zh-CN"/>
        </w:rPr>
      </w:pPr>
      <w:r w:rsidRPr="00990134">
        <w:rPr>
          <w:lang w:val="en-US" w:eastAsia="zh-CN"/>
        </w:rPr>
        <w:t>Queensland is now a leader in eco-certified destinations in Australia, with the Queensland Government supporting destinations to achieve certification from Ecotourism Australia (ECO Destination Certification program) and/or EarthCheck (Sustainable Destination Standard program).</w:t>
      </w:r>
    </w:p>
    <w:p w14:paraId="262D94AD" w14:textId="77777777" w:rsidR="00990134" w:rsidRPr="00990134" w:rsidRDefault="00990134" w:rsidP="00990134">
      <w:pPr>
        <w:ind w:left="567" w:right="45"/>
        <w:rPr>
          <w:lang w:eastAsia="zh-CN"/>
        </w:rPr>
      </w:pPr>
      <w:r w:rsidRPr="00990134">
        <w:rPr>
          <w:lang w:val="en-US" w:eastAsia="zh-CN"/>
        </w:rPr>
        <w:t xml:space="preserve">The objectives of this </w:t>
      </w:r>
      <w:r w:rsidRPr="00990134">
        <w:rPr>
          <w:lang w:eastAsia="zh-CN"/>
        </w:rPr>
        <w:t xml:space="preserve">Eco-certified Tourism Destination Program, which provided funding of up to $150,000 to local government authorities and regional and local tourism organisations in Queensland, </w:t>
      </w:r>
      <w:r w:rsidRPr="00990134">
        <w:rPr>
          <w:lang w:val="en-US" w:eastAsia="zh-CN"/>
        </w:rPr>
        <w:t>were to:</w:t>
      </w:r>
    </w:p>
    <w:p w14:paraId="3DAD854B" w14:textId="77777777" w:rsidR="00990134" w:rsidRPr="00990134" w:rsidRDefault="00990134" w:rsidP="00990134">
      <w:pPr>
        <w:pStyle w:val="BulletList"/>
        <w:rPr>
          <w:lang w:eastAsia="zh-CN"/>
        </w:rPr>
      </w:pPr>
      <w:r w:rsidRPr="00990134">
        <w:rPr>
          <w:lang w:val="en-US" w:eastAsia="zh-CN"/>
        </w:rPr>
        <w:t>fast-track the certification for destinations already engaged in either of the two globally recognised certification programs</w:t>
      </w:r>
    </w:p>
    <w:p w14:paraId="44DF5CEC" w14:textId="77777777" w:rsidR="00990134" w:rsidRPr="00990134" w:rsidRDefault="00990134" w:rsidP="00990134">
      <w:pPr>
        <w:pStyle w:val="BulletList"/>
        <w:rPr>
          <w:lang w:eastAsia="zh-CN"/>
        </w:rPr>
      </w:pPr>
      <w:r w:rsidRPr="00990134">
        <w:rPr>
          <w:lang w:val="en-US" w:eastAsia="zh-CN"/>
        </w:rPr>
        <w:t>support new destinations to join the programs and achieve certification</w:t>
      </w:r>
    </w:p>
    <w:p w14:paraId="47FC98EF" w14:textId="77777777" w:rsidR="00990134" w:rsidRPr="00990134" w:rsidRDefault="00990134" w:rsidP="00990134">
      <w:pPr>
        <w:pStyle w:val="BulletList"/>
        <w:rPr>
          <w:lang w:eastAsia="zh-CN"/>
        </w:rPr>
      </w:pPr>
      <w:r w:rsidRPr="00990134">
        <w:rPr>
          <w:lang w:val="en-US" w:eastAsia="zh-CN"/>
        </w:rPr>
        <w:t>support certified destinations to attain a higher level of certification</w:t>
      </w:r>
    </w:p>
    <w:p w14:paraId="4083E270" w14:textId="77777777" w:rsidR="00990134" w:rsidRPr="00990134" w:rsidRDefault="00990134" w:rsidP="00990134">
      <w:pPr>
        <w:pStyle w:val="BulletList"/>
        <w:rPr>
          <w:lang w:eastAsia="zh-CN"/>
        </w:rPr>
      </w:pPr>
      <w:r w:rsidRPr="00990134">
        <w:rPr>
          <w:lang w:val="en-US" w:eastAsia="zh-CN"/>
        </w:rPr>
        <w:t>build a Queensland network of globally recognised certified destinations.</w:t>
      </w:r>
    </w:p>
    <w:p w14:paraId="1E92C5D2" w14:textId="77777777" w:rsidR="00990134" w:rsidRPr="00990134" w:rsidRDefault="00990134" w:rsidP="00990134">
      <w:pPr>
        <w:ind w:left="567" w:right="45"/>
        <w:rPr>
          <w:lang w:eastAsia="zh-CN"/>
        </w:rPr>
      </w:pPr>
      <w:r w:rsidRPr="00990134">
        <w:rPr>
          <w:lang w:val="en-US" w:eastAsia="zh-CN"/>
        </w:rPr>
        <w:t xml:space="preserve">Cassowary Coast Regional Council received its certification in April 2025, with the Ecotourism Australia ECO Destination Certification. This certification places the Cassowary Coast in a select group of global destinations to have achieved the highest standards for environmental sustainability – an increasingly sought-after feature from international tourists. </w:t>
      </w:r>
    </w:p>
    <w:p w14:paraId="7FBBC8AD" w14:textId="77777777" w:rsidR="00990134" w:rsidRPr="00990134" w:rsidRDefault="00990134" w:rsidP="00990134">
      <w:pPr>
        <w:ind w:left="567" w:right="45"/>
        <w:rPr>
          <w:lang w:eastAsia="zh-CN"/>
        </w:rPr>
      </w:pPr>
      <w:r w:rsidRPr="00990134">
        <w:rPr>
          <w:lang w:val="en-US" w:eastAsia="zh-CN"/>
        </w:rPr>
        <w:lastRenderedPageBreak/>
        <w:t xml:space="preserve">The certification shows the region’s dedication to preserving its unique natural assets while committing to reducing its environmental footprint, implementing eco-friendly practices and initiatives that promote long-term sustainability. </w:t>
      </w:r>
    </w:p>
    <w:p w14:paraId="620E884F" w14:textId="77777777" w:rsidR="00990134" w:rsidRPr="00990134" w:rsidRDefault="00990134" w:rsidP="00990134">
      <w:pPr>
        <w:ind w:left="567" w:right="45"/>
        <w:rPr>
          <w:lang w:eastAsia="zh-CN"/>
        </w:rPr>
      </w:pPr>
      <w:r w:rsidRPr="00990134">
        <w:rPr>
          <w:lang w:eastAsia="zh-CN"/>
        </w:rPr>
        <w:t>Destinations that have achieved certification under the program include: Bundaberg Regional Council, Cassowary Regional Council, Etheridge Shire Council, Gladstone Area Promotion and Development Limited, Livingstone Shire Council, City of Moreton Bay, Murweh Shire Council, Noosa Shire Council, Scenic Rim Regional Council and Townsville City Council.</w:t>
      </w:r>
    </w:p>
    <w:p w14:paraId="2BD0CB00" w14:textId="38903E7B" w:rsidR="00867BA3" w:rsidRPr="00E603B9" w:rsidRDefault="00C917D8" w:rsidP="00E603B9">
      <w:pPr>
        <w:spacing w:after="240" w:line="380" w:lineRule="atLeast"/>
        <w:ind w:left="567" w:right="45"/>
        <w:rPr>
          <w:color w:val="893B94" w:themeColor="accent1"/>
          <w:sz w:val="28"/>
          <w:szCs w:val="28"/>
          <w:lang w:eastAsia="zh-CN"/>
        </w:rPr>
      </w:pPr>
      <w:r w:rsidRPr="00E927C5">
        <w:rPr>
          <w:color w:val="893B94" w:themeColor="accent1"/>
          <w:sz w:val="28"/>
          <w:szCs w:val="28"/>
          <w:lang w:eastAsia="zh-CN"/>
        </w:rPr>
        <w:t xml:space="preserve">Case study provided by </w:t>
      </w:r>
      <w:r w:rsidR="006E5EAB">
        <w:rPr>
          <w:color w:val="893B94" w:themeColor="accent1"/>
          <w:sz w:val="28"/>
          <w:szCs w:val="28"/>
          <w:lang w:eastAsia="zh-CN"/>
        </w:rPr>
        <w:t xml:space="preserve">Department of the Environment, </w:t>
      </w:r>
      <w:r w:rsidRPr="00E927C5">
        <w:rPr>
          <w:color w:val="893B94" w:themeColor="accent1"/>
          <w:sz w:val="28"/>
          <w:szCs w:val="28"/>
          <w:lang w:eastAsia="zh-CN"/>
        </w:rPr>
        <w:t>Tourism</w:t>
      </w:r>
      <w:r w:rsidR="006E5EAB">
        <w:rPr>
          <w:color w:val="893B94" w:themeColor="accent1"/>
          <w:sz w:val="28"/>
          <w:szCs w:val="28"/>
          <w:lang w:eastAsia="zh-CN"/>
        </w:rPr>
        <w:t>, Science</w:t>
      </w:r>
      <w:r w:rsidRPr="00E927C5">
        <w:rPr>
          <w:color w:val="893B94" w:themeColor="accent1"/>
          <w:sz w:val="28"/>
          <w:szCs w:val="28"/>
          <w:lang w:eastAsia="zh-CN"/>
        </w:rPr>
        <w:t xml:space="preserve"> </w:t>
      </w:r>
      <w:r w:rsidR="00705CF9">
        <w:rPr>
          <w:color w:val="893B94" w:themeColor="accent1"/>
          <w:sz w:val="28"/>
          <w:szCs w:val="28"/>
          <w:lang w:eastAsia="zh-CN"/>
        </w:rPr>
        <w:t xml:space="preserve">and </w:t>
      </w:r>
      <w:r w:rsidR="006E5EAB">
        <w:rPr>
          <w:color w:val="893B94" w:themeColor="accent1"/>
          <w:sz w:val="28"/>
          <w:szCs w:val="28"/>
          <w:lang w:eastAsia="zh-CN"/>
        </w:rPr>
        <w:t>Innovation (</w:t>
      </w:r>
      <w:r w:rsidR="00705CF9">
        <w:rPr>
          <w:color w:val="893B94" w:themeColor="accent1"/>
          <w:sz w:val="28"/>
          <w:szCs w:val="28"/>
          <w:lang w:eastAsia="zh-CN"/>
        </w:rPr>
        <w:t>Queensland</w:t>
      </w:r>
      <w:r w:rsidR="006E5EAB">
        <w:rPr>
          <w:color w:val="893B94" w:themeColor="accent1"/>
          <w:sz w:val="28"/>
          <w:szCs w:val="28"/>
          <w:lang w:eastAsia="zh-CN"/>
        </w:rPr>
        <w:t>)</w:t>
      </w:r>
    </w:p>
    <w:p w14:paraId="6B5F69ED" w14:textId="2D1AF88B" w:rsidR="008E5EA4" w:rsidRDefault="00036E18" w:rsidP="004F0E7D">
      <w:pPr>
        <w:pStyle w:val="Heading3"/>
      </w:pPr>
      <w:bookmarkStart w:id="18" w:name="_Toc200703619"/>
      <w:r>
        <w:t xml:space="preserve">Global and </w:t>
      </w:r>
      <w:r w:rsidR="008E5EA4">
        <w:t>outbound travel</w:t>
      </w:r>
      <w:bookmarkEnd w:id="18"/>
    </w:p>
    <w:p w14:paraId="6AD32374" w14:textId="77777777" w:rsidR="00301B06" w:rsidRPr="00301B06" w:rsidRDefault="00301B06" w:rsidP="00301B06">
      <w:r w:rsidRPr="00301B06">
        <w:t xml:space="preserve">According to ABS data, Australians took 11.6 million short-term overseas trips (defined as less than one year) in 2024. This was 16% more than the number of trips in 2023 (10 million) and a record high. </w:t>
      </w:r>
    </w:p>
    <w:p w14:paraId="41040BDB" w14:textId="2DF82A48" w:rsidR="00301B06" w:rsidRDefault="00301B06" w:rsidP="00301B06">
      <w:r w:rsidRPr="00301B06">
        <w:t>Most overseas trips in 2024 were for a holiday (59%, 6.9 million trips)</w:t>
      </w:r>
      <w:r w:rsidR="00752A19">
        <w:t xml:space="preserve"> (Figure 12)</w:t>
      </w:r>
      <w:r w:rsidRPr="00301B06">
        <w:t>. Visiting friends and relatives was the second-largest reason for overseas trips (27%, or 3.1 million trips) followed by overseas business trips (8%, 0.9 million trips).</w:t>
      </w:r>
    </w:p>
    <w:p w14:paraId="0C2B383B" w14:textId="56394B09" w:rsidR="005C7E52" w:rsidRDefault="005C7E52" w:rsidP="005C7E52">
      <w:pPr>
        <w:pStyle w:val="ListBullet"/>
        <w:keepNext/>
        <w:numPr>
          <w:ilvl w:val="0"/>
          <w:numId w:val="0"/>
        </w:numPr>
        <w:spacing w:line="300" w:lineRule="atLeast"/>
        <w:rPr>
          <w:rFonts w:ascii="Verdana" w:eastAsiaTheme="minorHAnsi" w:hAnsi="Verdana"/>
          <w:color w:val="300050" w:themeColor="text2"/>
          <w:lang w:eastAsia="en-US"/>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53320E">
        <w:rPr>
          <w:rFonts w:ascii="Verdana" w:eastAsiaTheme="minorHAnsi" w:hAnsi="Verdana"/>
          <w:b/>
          <w:bCs/>
          <w:noProof/>
          <w:color w:val="300050" w:themeColor="text2"/>
          <w:lang w:eastAsia="en-US"/>
        </w:rPr>
        <w:t>12</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1D5251" w:rsidRPr="001D5251">
        <w:rPr>
          <w:rFonts w:ascii="Verdana" w:eastAsiaTheme="minorHAnsi" w:hAnsi="Verdana"/>
          <w:color w:val="300050" w:themeColor="text2"/>
          <w:lang w:eastAsia="en-US"/>
        </w:rPr>
        <w:t>Short-term resident returns in 2024 by purpose of travel</w:t>
      </w:r>
      <w:r w:rsidR="001D5251">
        <w:rPr>
          <w:rFonts w:ascii="Verdana" w:eastAsiaTheme="minorHAnsi" w:hAnsi="Verdana"/>
          <w:color w:val="300050" w:themeColor="text2"/>
          <w:lang w:eastAsia="en-US"/>
        </w:rPr>
        <w:t>.</w:t>
      </w:r>
    </w:p>
    <w:p w14:paraId="5AC27653" w14:textId="5D1ACD01" w:rsidR="003E3D5F" w:rsidRDefault="003E3D5F" w:rsidP="003B754D">
      <w:pPr>
        <w:pStyle w:val="ListBullet"/>
        <w:numPr>
          <w:ilvl w:val="0"/>
          <w:numId w:val="0"/>
        </w:numPr>
        <w:spacing w:line="300" w:lineRule="atLeast"/>
        <w:jc w:val="center"/>
      </w:pPr>
      <w:r w:rsidRPr="003E3D5F">
        <w:rPr>
          <w:noProof/>
        </w:rPr>
        <w:drawing>
          <wp:inline distT="0" distB="0" distL="0" distR="0" wp14:anchorId="5049AFE5" wp14:editId="30FCA527">
            <wp:extent cx="5053101" cy="4057650"/>
            <wp:effectExtent l="0" t="0" r="0" b="0"/>
            <wp:docPr id="142868527" name="Picture 1" descr="This pie chart shows the breakdown of Australian resident returns by purpose of travel in 2024. It shows that outbound trips for the purpose of holiday accounted for more than half of all trips (59%, with 6.9 million trips). VFR was the second largest category with 3.1 million trips, accounting for 27% of outbou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8527" name="Picture 1" descr="This pie chart shows the breakdown of Australian resident returns by purpose of travel in 2024. It shows that outbound trips for the purpose of holiday accounted for more than half of all trips (59%, with 6.9 million trips). VFR was the second largest category with 3.1 million trips, accounting for 27% of outbound travel."/>
                    <pic:cNvPicPr>
                      <a:picLocks noChangeAspect="1" noChangeArrowheads="1"/>
                    </pic:cNvPicPr>
                  </pic:nvPicPr>
                  <pic:blipFill rotWithShape="1">
                    <a:blip r:embed="rId31">
                      <a:extLst>
                        <a:ext uri="{28A0092B-C50C-407E-A947-70E740481C1C}">
                          <a14:useLocalDpi xmlns:a14="http://schemas.microsoft.com/office/drawing/2010/main" val="0"/>
                        </a:ext>
                      </a:extLst>
                    </a:blip>
                    <a:srcRect l="59531" t="33334" r="1250" b="7221"/>
                    <a:stretch/>
                  </pic:blipFill>
                  <pic:spPr bwMode="auto">
                    <a:xfrm>
                      <a:off x="0" y="0"/>
                      <a:ext cx="5059694" cy="4062944"/>
                    </a:xfrm>
                    <a:prstGeom prst="rect">
                      <a:avLst/>
                    </a:prstGeom>
                    <a:noFill/>
                    <a:ln>
                      <a:noFill/>
                    </a:ln>
                    <a:extLst>
                      <a:ext uri="{53640926-AAD7-44D8-BBD7-CCE9431645EC}">
                        <a14:shadowObscured xmlns:a14="http://schemas.microsoft.com/office/drawing/2010/main"/>
                      </a:ext>
                    </a:extLst>
                  </pic:spPr>
                </pic:pic>
              </a:graphicData>
            </a:graphic>
          </wp:inline>
        </w:drawing>
      </w:r>
    </w:p>
    <w:p w14:paraId="5347ADFE" w14:textId="1FB8B214" w:rsidR="00301B06" w:rsidRDefault="00301B06" w:rsidP="00301B06">
      <w:r w:rsidRPr="00301B06">
        <w:lastRenderedPageBreak/>
        <w:t xml:space="preserve">Outbound leisure travel shows a seasonal pattern, with peaks coinciding with school holidays and the Christmas/New Year period. </w:t>
      </w:r>
      <w:r w:rsidR="00D54C08">
        <w:t xml:space="preserve">The most popular destinations </w:t>
      </w:r>
      <w:r w:rsidR="00112BF8">
        <w:t xml:space="preserve">in 2024 </w:t>
      </w:r>
      <w:r w:rsidR="00D54C08">
        <w:t xml:space="preserve">were </w:t>
      </w:r>
      <w:r w:rsidR="0053430F">
        <w:t xml:space="preserve">those typically associated as nearby </w:t>
      </w:r>
      <w:r w:rsidR="00D54C08">
        <w:t xml:space="preserve">holiday </w:t>
      </w:r>
      <w:r w:rsidR="0053430F">
        <w:t xml:space="preserve">destinations </w:t>
      </w:r>
      <w:r w:rsidR="00112BF8">
        <w:t>along with</w:t>
      </w:r>
      <w:r w:rsidR="0053430F">
        <w:t xml:space="preserve"> </w:t>
      </w:r>
      <w:r w:rsidR="00112BF8">
        <w:t xml:space="preserve">countries with strong VFR links (Table </w:t>
      </w:r>
      <w:r w:rsidR="00190A7F">
        <w:t>4</w:t>
      </w:r>
      <w:r w:rsidR="00112BF8">
        <w:t xml:space="preserve">). </w:t>
      </w:r>
    </w:p>
    <w:p w14:paraId="077C826E" w14:textId="460B224D" w:rsidR="00190A7F" w:rsidRPr="00190A7F" w:rsidRDefault="00190A7F" w:rsidP="003078E8">
      <w:pPr>
        <w:pStyle w:val="ListBullet"/>
        <w:keepNext/>
        <w:numPr>
          <w:ilvl w:val="0"/>
          <w:numId w:val="0"/>
        </w:numPr>
        <w:spacing w:after="120" w:line="300" w:lineRule="atLeast"/>
        <w:ind w:firstLine="720"/>
        <w:rPr>
          <w:rFonts w:ascii="Verdana" w:eastAsiaTheme="minorHAnsi" w:hAnsi="Verdana"/>
          <w:b/>
          <w:bCs/>
          <w:color w:val="300050" w:themeColor="text2"/>
          <w:lang w:eastAsia="en-US"/>
        </w:rPr>
      </w:pPr>
      <w:r w:rsidRPr="000E0B97">
        <w:rPr>
          <w:rFonts w:ascii="Verdana" w:eastAsiaTheme="minorHAnsi" w:hAnsi="Verdana"/>
          <w:b/>
          <w:bCs/>
          <w:color w:val="300050" w:themeColor="text2"/>
          <w:lang w:eastAsia="en-US"/>
        </w:rPr>
        <w:t>Table</w:t>
      </w:r>
      <w:r>
        <w:rPr>
          <w:rFonts w:ascii="Verdana" w:eastAsiaTheme="minorHAnsi" w:hAnsi="Verdana"/>
          <w:b/>
          <w:bCs/>
          <w:color w:val="300050" w:themeColor="text2"/>
          <w:lang w:eastAsia="en-US"/>
        </w:rPr>
        <w:t xml:space="preserve"> 4</w:t>
      </w:r>
      <w:r w:rsidRPr="000E0B97">
        <w:rPr>
          <w:rFonts w:ascii="Verdana" w:eastAsiaTheme="minorHAnsi" w:hAnsi="Verdana"/>
          <w:b/>
          <w:bCs/>
          <w:color w:val="300050" w:themeColor="text2"/>
          <w:lang w:eastAsia="en-US"/>
        </w:rPr>
        <w:t xml:space="preserve">: </w:t>
      </w:r>
      <w:r>
        <w:rPr>
          <w:rFonts w:ascii="Verdana" w:eastAsiaTheme="minorHAnsi" w:hAnsi="Verdana"/>
          <w:color w:val="300050" w:themeColor="text2"/>
          <w:lang w:eastAsia="en-US"/>
        </w:rPr>
        <w:t>Short-term resident returns</w:t>
      </w:r>
      <w:r w:rsidR="003078E8">
        <w:rPr>
          <w:rFonts w:ascii="Verdana" w:eastAsiaTheme="minorHAnsi" w:hAnsi="Verdana"/>
          <w:color w:val="300050" w:themeColor="text2"/>
          <w:lang w:eastAsia="en-US"/>
        </w:rPr>
        <w:t>, top 10 destinations of</w:t>
      </w:r>
      <w:r w:rsidRPr="000E0B97">
        <w:rPr>
          <w:rFonts w:ascii="Verdana" w:eastAsiaTheme="minorHAnsi" w:hAnsi="Verdana"/>
          <w:color w:val="300050" w:themeColor="text2"/>
          <w:lang w:eastAsia="en-US"/>
        </w:rPr>
        <w:t xml:space="preserve"> Australia</w:t>
      </w:r>
      <w:r w:rsidR="003078E8">
        <w:rPr>
          <w:rFonts w:ascii="Verdana" w:eastAsiaTheme="minorHAnsi" w:hAnsi="Verdana"/>
          <w:color w:val="300050" w:themeColor="text2"/>
          <w:lang w:eastAsia="en-US"/>
        </w:rPr>
        <w:t>ns</w:t>
      </w:r>
      <w:r w:rsidRPr="000E0B97">
        <w:rPr>
          <w:rFonts w:ascii="Verdana" w:eastAsiaTheme="minorHAnsi" w:hAnsi="Verdana"/>
          <w:color w:val="300050" w:themeColor="text2"/>
          <w:lang w:eastAsia="en-US"/>
        </w:rPr>
        <w:t xml:space="preserve"> in 2024.</w:t>
      </w:r>
    </w:p>
    <w:tbl>
      <w:tblPr>
        <w:tblStyle w:val="TableGrid"/>
        <w:tblW w:w="0" w:type="auto"/>
        <w:tblInd w:w="421" w:type="dxa"/>
        <w:tblLook w:val="04A0" w:firstRow="1" w:lastRow="0" w:firstColumn="1" w:lastColumn="0" w:noHBand="0" w:noVBand="1"/>
        <w:tblCaption w:val="Short-term resident returns, top 10 destinations of Australians in 2024"/>
        <w:tblDescription w:val="Table lists the top 10 destinations for Australian outbound travel in 2024 and reports the number of trips to that destination in 2024 and % change from the previous year. "/>
      </w:tblPr>
      <w:tblGrid>
        <w:gridCol w:w="2898"/>
        <w:gridCol w:w="2913"/>
        <w:gridCol w:w="3261"/>
      </w:tblGrid>
      <w:tr w:rsidR="00F20F9B" w:rsidRPr="003A58AB" w14:paraId="337652B1" w14:textId="77777777" w:rsidTr="00190A7F">
        <w:trPr>
          <w:tblHeader/>
        </w:trPr>
        <w:tc>
          <w:tcPr>
            <w:tcW w:w="2898" w:type="dxa"/>
            <w:shd w:val="clear" w:color="auto" w:fill="300050" w:themeFill="text2"/>
          </w:tcPr>
          <w:p w14:paraId="60289D5A" w14:textId="44095E52" w:rsidR="00F20F9B" w:rsidRPr="003A58AB" w:rsidRDefault="00A71889" w:rsidP="00232EA1">
            <w:pPr>
              <w:rPr>
                <w:b/>
                <w:color w:val="FFFFFF" w:themeColor="background1"/>
              </w:rPr>
            </w:pPr>
            <w:r>
              <w:rPr>
                <w:b/>
                <w:color w:val="FFFFFF" w:themeColor="background1"/>
              </w:rPr>
              <w:t>Destination</w:t>
            </w:r>
          </w:p>
        </w:tc>
        <w:tc>
          <w:tcPr>
            <w:tcW w:w="2913" w:type="dxa"/>
            <w:shd w:val="clear" w:color="auto" w:fill="300050" w:themeFill="text2"/>
          </w:tcPr>
          <w:p w14:paraId="112960BD" w14:textId="6309A93F" w:rsidR="00F20F9B" w:rsidRPr="003A58AB" w:rsidRDefault="00A71889" w:rsidP="00251062">
            <w:pPr>
              <w:jc w:val="center"/>
              <w:rPr>
                <w:b/>
                <w:color w:val="FFFFFF" w:themeColor="background1"/>
              </w:rPr>
            </w:pPr>
            <w:r>
              <w:rPr>
                <w:b/>
                <w:color w:val="FFFFFF" w:themeColor="background1"/>
              </w:rPr>
              <w:t>Number of trips in 2024 (000)</w:t>
            </w:r>
          </w:p>
        </w:tc>
        <w:tc>
          <w:tcPr>
            <w:tcW w:w="3261" w:type="dxa"/>
            <w:shd w:val="clear" w:color="auto" w:fill="300050" w:themeFill="text2"/>
          </w:tcPr>
          <w:p w14:paraId="7B70DA5E" w14:textId="246012CF" w:rsidR="00F20F9B" w:rsidRPr="003A58AB" w:rsidRDefault="00A71889" w:rsidP="00251062">
            <w:pPr>
              <w:jc w:val="center"/>
              <w:rPr>
                <w:b/>
                <w:color w:val="FFFFFF" w:themeColor="background1"/>
              </w:rPr>
            </w:pPr>
            <w:r>
              <w:rPr>
                <w:b/>
                <w:color w:val="FFFFFF" w:themeColor="background1"/>
              </w:rPr>
              <w:t>Change from 2023 to 2024 (%)</w:t>
            </w:r>
          </w:p>
        </w:tc>
      </w:tr>
      <w:tr w:rsidR="00F20F9B" w:rsidRPr="003A58AB" w14:paraId="7941FF4C" w14:textId="77777777" w:rsidTr="00190A7F">
        <w:trPr>
          <w:trHeight w:hRule="exact" w:val="397"/>
        </w:trPr>
        <w:tc>
          <w:tcPr>
            <w:tcW w:w="2898" w:type="dxa"/>
          </w:tcPr>
          <w:p w14:paraId="5D4F2498" w14:textId="49FA84FE" w:rsidR="00F20F9B" w:rsidRPr="003A58AB" w:rsidRDefault="00A71889" w:rsidP="00086B8D">
            <w:pPr>
              <w:pStyle w:val="ListParagraph"/>
              <w:numPr>
                <w:ilvl w:val="0"/>
                <w:numId w:val="7"/>
              </w:numPr>
              <w:spacing w:before="120" w:after="120" w:line="240" w:lineRule="auto"/>
            </w:pPr>
            <w:r>
              <w:t>Indonesia</w:t>
            </w:r>
          </w:p>
        </w:tc>
        <w:tc>
          <w:tcPr>
            <w:tcW w:w="2913" w:type="dxa"/>
          </w:tcPr>
          <w:p w14:paraId="403BC252" w14:textId="5EA4EB98" w:rsidR="00F20F9B" w:rsidRPr="003A58AB" w:rsidRDefault="00A71889" w:rsidP="00190A7F">
            <w:pPr>
              <w:spacing w:before="120" w:after="120" w:line="240" w:lineRule="auto"/>
              <w:jc w:val="center"/>
            </w:pPr>
            <w:r>
              <w:t>1,679</w:t>
            </w:r>
          </w:p>
        </w:tc>
        <w:tc>
          <w:tcPr>
            <w:tcW w:w="3261" w:type="dxa"/>
          </w:tcPr>
          <w:p w14:paraId="4F9A9B3B" w14:textId="0BD7E17C" w:rsidR="00F20F9B" w:rsidRPr="003A58AB" w:rsidRDefault="00A71889" w:rsidP="00190A7F">
            <w:pPr>
              <w:spacing w:before="120" w:after="120" w:line="240" w:lineRule="auto"/>
              <w:jc w:val="center"/>
            </w:pPr>
            <w:r>
              <w:t>23</w:t>
            </w:r>
          </w:p>
        </w:tc>
      </w:tr>
      <w:tr w:rsidR="00F20F9B" w:rsidRPr="003A58AB" w14:paraId="01310BD1" w14:textId="77777777" w:rsidTr="00190A7F">
        <w:trPr>
          <w:trHeight w:hRule="exact" w:val="397"/>
        </w:trPr>
        <w:tc>
          <w:tcPr>
            <w:tcW w:w="2898" w:type="dxa"/>
          </w:tcPr>
          <w:p w14:paraId="73EBF0C8" w14:textId="103334BE" w:rsidR="00F20F9B" w:rsidRPr="003A58AB" w:rsidRDefault="00A71889" w:rsidP="00086B8D">
            <w:pPr>
              <w:pStyle w:val="ListParagraph"/>
              <w:numPr>
                <w:ilvl w:val="0"/>
                <w:numId w:val="7"/>
              </w:numPr>
              <w:spacing w:before="120" w:after="120" w:line="240" w:lineRule="auto"/>
            </w:pPr>
            <w:r>
              <w:t>New Zealand</w:t>
            </w:r>
          </w:p>
        </w:tc>
        <w:tc>
          <w:tcPr>
            <w:tcW w:w="2913" w:type="dxa"/>
          </w:tcPr>
          <w:p w14:paraId="3D811155" w14:textId="022FD001" w:rsidR="00F20F9B" w:rsidRPr="003A58AB" w:rsidRDefault="00A71889" w:rsidP="00190A7F">
            <w:pPr>
              <w:spacing w:before="120" w:after="120" w:line="240" w:lineRule="auto"/>
              <w:jc w:val="center"/>
            </w:pPr>
            <w:r>
              <w:t>1,364</w:t>
            </w:r>
          </w:p>
        </w:tc>
        <w:tc>
          <w:tcPr>
            <w:tcW w:w="3261" w:type="dxa"/>
          </w:tcPr>
          <w:p w14:paraId="1B82BA48" w14:textId="266BDB9F" w:rsidR="00F20F9B" w:rsidRPr="003A58AB" w:rsidRDefault="00A71889" w:rsidP="00190A7F">
            <w:pPr>
              <w:spacing w:before="120" w:after="120" w:line="240" w:lineRule="auto"/>
              <w:jc w:val="center"/>
            </w:pPr>
            <w:r>
              <w:t>8</w:t>
            </w:r>
          </w:p>
        </w:tc>
      </w:tr>
      <w:tr w:rsidR="00A71889" w:rsidRPr="003A58AB" w14:paraId="0A9A6E87" w14:textId="77777777" w:rsidTr="00190A7F">
        <w:trPr>
          <w:trHeight w:hRule="exact" w:val="397"/>
        </w:trPr>
        <w:tc>
          <w:tcPr>
            <w:tcW w:w="2898" w:type="dxa"/>
          </w:tcPr>
          <w:p w14:paraId="65AB2A59" w14:textId="4FA2F84B" w:rsidR="00A71889" w:rsidRDefault="00190A7F" w:rsidP="00086B8D">
            <w:pPr>
              <w:pStyle w:val="ListParagraph"/>
              <w:numPr>
                <w:ilvl w:val="0"/>
                <w:numId w:val="7"/>
              </w:numPr>
              <w:spacing w:before="120" w:after="120" w:line="240" w:lineRule="auto"/>
            </w:pPr>
            <w:r>
              <w:t>Japan</w:t>
            </w:r>
          </w:p>
        </w:tc>
        <w:tc>
          <w:tcPr>
            <w:tcW w:w="2913" w:type="dxa"/>
          </w:tcPr>
          <w:p w14:paraId="7284849A" w14:textId="4554C10C" w:rsidR="00A71889" w:rsidRDefault="00190A7F" w:rsidP="00190A7F">
            <w:pPr>
              <w:spacing w:before="120" w:after="120" w:line="240" w:lineRule="auto"/>
              <w:jc w:val="center"/>
            </w:pPr>
            <w:r>
              <w:t>799</w:t>
            </w:r>
          </w:p>
        </w:tc>
        <w:tc>
          <w:tcPr>
            <w:tcW w:w="3261" w:type="dxa"/>
          </w:tcPr>
          <w:p w14:paraId="60DFF3D7" w14:textId="47CB22E9" w:rsidR="00A71889" w:rsidRDefault="00190A7F" w:rsidP="00190A7F">
            <w:pPr>
              <w:spacing w:before="120" w:after="120" w:line="240" w:lineRule="auto"/>
              <w:jc w:val="center"/>
            </w:pPr>
            <w:r>
              <w:t>57</w:t>
            </w:r>
          </w:p>
        </w:tc>
      </w:tr>
      <w:tr w:rsidR="00A71889" w:rsidRPr="003A58AB" w14:paraId="74F51B00" w14:textId="77777777" w:rsidTr="00190A7F">
        <w:trPr>
          <w:trHeight w:hRule="exact" w:val="397"/>
        </w:trPr>
        <w:tc>
          <w:tcPr>
            <w:tcW w:w="2898" w:type="dxa"/>
          </w:tcPr>
          <w:p w14:paraId="1E52948B" w14:textId="3C05BBB2" w:rsidR="00A71889" w:rsidRDefault="00190A7F" w:rsidP="00086B8D">
            <w:pPr>
              <w:pStyle w:val="ListParagraph"/>
              <w:numPr>
                <w:ilvl w:val="0"/>
                <w:numId w:val="7"/>
              </w:numPr>
              <w:spacing w:before="120" w:after="120" w:line="240" w:lineRule="auto"/>
            </w:pPr>
            <w:r>
              <w:t>United States</w:t>
            </w:r>
          </w:p>
        </w:tc>
        <w:tc>
          <w:tcPr>
            <w:tcW w:w="2913" w:type="dxa"/>
          </w:tcPr>
          <w:p w14:paraId="61194A2C" w14:textId="357B1775" w:rsidR="00A71889" w:rsidRDefault="00190A7F" w:rsidP="00190A7F">
            <w:pPr>
              <w:spacing w:before="120" w:after="120" w:line="240" w:lineRule="auto"/>
              <w:jc w:val="center"/>
            </w:pPr>
            <w:r>
              <w:t>735</w:t>
            </w:r>
          </w:p>
        </w:tc>
        <w:tc>
          <w:tcPr>
            <w:tcW w:w="3261" w:type="dxa"/>
          </w:tcPr>
          <w:p w14:paraId="223F643C" w14:textId="46435711" w:rsidR="00A71889" w:rsidRDefault="00190A7F" w:rsidP="00190A7F">
            <w:pPr>
              <w:spacing w:before="120" w:after="120" w:line="240" w:lineRule="auto"/>
              <w:jc w:val="center"/>
            </w:pPr>
            <w:r>
              <w:t>10</w:t>
            </w:r>
          </w:p>
        </w:tc>
      </w:tr>
      <w:tr w:rsidR="00A71889" w:rsidRPr="003A58AB" w14:paraId="760CF137" w14:textId="77777777" w:rsidTr="00190A7F">
        <w:trPr>
          <w:trHeight w:hRule="exact" w:val="397"/>
        </w:trPr>
        <w:tc>
          <w:tcPr>
            <w:tcW w:w="2898" w:type="dxa"/>
          </w:tcPr>
          <w:p w14:paraId="0F739FBB" w14:textId="294422B8" w:rsidR="00A71889" w:rsidRDefault="00190A7F" w:rsidP="00086B8D">
            <w:pPr>
              <w:pStyle w:val="ListParagraph"/>
              <w:numPr>
                <w:ilvl w:val="0"/>
                <w:numId w:val="7"/>
              </w:numPr>
              <w:spacing w:before="120" w:after="120" w:line="240" w:lineRule="auto"/>
            </w:pPr>
            <w:r>
              <w:t>United Kingdom</w:t>
            </w:r>
          </w:p>
        </w:tc>
        <w:tc>
          <w:tcPr>
            <w:tcW w:w="2913" w:type="dxa"/>
          </w:tcPr>
          <w:p w14:paraId="61C37391" w14:textId="53D4A491" w:rsidR="00A71889" w:rsidRDefault="00190A7F" w:rsidP="00190A7F">
            <w:pPr>
              <w:spacing w:before="120" w:after="120" w:line="240" w:lineRule="auto"/>
              <w:jc w:val="center"/>
            </w:pPr>
            <w:r>
              <w:t>620</w:t>
            </w:r>
          </w:p>
        </w:tc>
        <w:tc>
          <w:tcPr>
            <w:tcW w:w="3261" w:type="dxa"/>
          </w:tcPr>
          <w:p w14:paraId="22356914" w14:textId="206FF0FB" w:rsidR="00A71889" w:rsidRDefault="00190A7F" w:rsidP="00190A7F">
            <w:pPr>
              <w:spacing w:before="120" w:after="120" w:line="240" w:lineRule="auto"/>
              <w:jc w:val="center"/>
            </w:pPr>
            <w:r>
              <w:t>3</w:t>
            </w:r>
          </w:p>
        </w:tc>
      </w:tr>
      <w:tr w:rsidR="00A71889" w:rsidRPr="003A58AB" w14:paraId="0E2FB1AA" w14:textId="77777777" w:rsidTr="00190A7F">
        <w:trPr>
          <w:trHeight w:hRule="exact" w:val="397"/>
        </w:trPr>
        <w:tc>
          <w:tcPr>
            <w:tcW w:w="2898" w:type="dxa"/>
          </w:tcPr>
          <w:p w14:paraId="7C88C00D" w14:textId="5B6DADC9" w:rsidR="00A71889" w:rsidRDefault="00190A7F" w:rsidP="00086B8D">
            <w:pPr>
              <w:pStyle w:val="ListParagraph"/>
              <w:numPr>
                <w:ilvl w:val="0"/>
                <w:numId w:val="7"/>
              </w:numPr>
              <w:spacing w:before="120" w:after="120" w:line="240" w:lineRule="auto"/>
            </w:pPr>
            <w:r>
              <w:t>Thailand</w:t>
            </w:r>
          </w:p>
        </w:tc>
        <w:tc>
          <w:tcPr>
            <w:tcW w:w="2913" w:type="dxa"/>
          </w:tcPr>
          <w:p w14:paraId="253CB480" w14:textId="6BC95782" w:rsidR="00A71889" w:rsidRDefault="00190A7F" w:rsidP="00190A7F">
            <w:pPr>
              <w:spacing w:before="120" w:after="120" w:line="240" w:lineRule="auto"/>
              <w:jc w:val="center"/>
            </w:pPr>
            <w:r>
              <w:t>587</w:t>
            </w:r>
          </w:p>
        </w:tc>
        <w:tc>
          <w:tcPr>
            <w:tcW w:w="3261" w:type="dxa"/>
          </w:tcPr>
          <w:p w14:paraId="24E55D0E" w14:textId="25A4C86A" w:rsidR="00A71889" w:rsidRDefault="00190A7F" w:rsidP="00190A7F">
            <w:pPr>
              <w:spacing w:before="120" w:after="120" w:line="240" w:lineRule="auto"/>
              <w:jc w:val="center"/>
            </w:pPr>
            <w:r>
              <w:t>17</w:t>
            </w:r>
          </w:p>
        </w:tc>
      </w:tr>
      <w:tr w:rsidR="00A71889" w:rsidRPr="003A58AB" w14:paraId="7EF53061" w14:textId="77777777" w:rsidTr="00190A7F">
        <w:trPr>
          <w:trHeight w:hRule="exact" w:val="397"/>
        </w:trPr>
        <w:tc>
          <w:tcPr>
            <w:tcW w:w="2898" w:type="dxa"/>
          </w:tcPr>
          <w:p w14:paraId="09F5D4A3" w14:textId="68FBC1DA" w:rsidR="00A71889" w:rsidRDefault="00190A7F" w:rsidP="00086B8D">
            <w:pPr>
              <w:pStyle w:val="ListParagraph"/>
              <w:numPr>
                <w:ilvl w:val="0"/>
                <w:numId w:val="7"/>
              </w:numPr>
              <w:spacing w:before="120" w:after="120" w:line="240" w:lineRule="auto"/>
            </w:pPr>
            <w:r>
              <w:t>China</w:t>
            </w:r>
          </w:p>
        </w:tc>
        <w:tc>
          <w:tcPr>
            <w:tcW w:w="2913" w:type="dxa"/>
          </w:tcPr>
          <w:p w14:paraId="36EB2D3C" w14:textId="669BAD32" w:rsidR="00A71889" w:rsidRDefault="00190A7F" w:rsidP="00190A7F">
            <w:pPr>
              <w:spacing w:before="120" w:after="120" w:line="240" w:lineRule="auto"/>
              <w:jc w:val="center"/>
            </w:pPr>
            <w:r>
              <w:t>581</w:t>
            </w:r>
          </w:p>
        </w:tc>
        <w:tc>
          <w:tcPr>
            <w:tcW w:w="3261" w:type="dxa"/>
          </w:tcPr>
          <w:p w14:paraId="77331D3A" w14:textId="2439C180" w:rsidR="00A71889" w:rsidRDefault="00190A7F" w:rsidP="00190A7F">
            <w:pPr>
              <w:spacing w:before="120" w:after="120" w:line="240" w:lineRule="auto"/>
              <w:jc w:val="center"/>
            </w:pPr>
            <w:r>
              <w:t>85</w:t>
            </w:r>
          </w:p>
        </w:tc>
      </w:tr>
      <w:tr w:rsidR="00A71889" w:rsidRPr="003A58AB" w14:paraId="47B8B21F" w14:textId="77777777" w:rsidTr="00190A7F">
        <w:trPr>
          <w:trHeight w:hRule="exact" w:val="397"/>
        </w:trPr>
        <w:tc>
          <w:tcPr>
            <w:tcW w:w="2898" w:type="dxa"/>
          </w:tcPr>
          <w:p w14:paraId="735EB93B" w14:textId="5EB49543" w:rsidR="00A71889" w:rsidRDefault="00190A7F" w:rsidP="00086B8D">
            <w:pPr>
              <w:pStyle w:val="ListParagraph"/>
              <w:numPr>
                <w:ilvl w:val="0"/>
                <w:numId w:val="7"/>
              </w:numPr>
              <w:spacing w:before="120" w:after="120" w:line="240" w:lineRule="auto"/>
            </w:pPr>
            <w:r>
              <w:t>India</w:t>
            </w:r>
          </w:p>
        </w:tc>
        <w:tc>
          <w:tcPr>
            <w:tcW w:w="2913" w:type="dxa"/>
          </w:tcPr>
          <w:p w14:paraId="13F4F7CF" w14:textId="4B85004F" w:rsidR="00A71889" w:rsidRDefault="00190A7F" w:rsidP="00190A7F">
            <w:pPr>
              <w:spacing w:before="120" w:after="120" w:line="240" w:lineRule="auto"/>
              <w:jc w:val="center"/>
            </w:pPr>
            <w:r>
              <w:t>549</w:t>
            </w:r>
          </w:p>
        </w:tc>
        <w:tc>
          <w:tcPr>
            <w:tcW w:w="3261" w:type="dxa"/>
          </w:tcPr>
          <w:p w14:paraId="37D37EEA" w14:textId="4A8BAEBC" w:rsidR="00A71889" w:rsidRDefault="00190A7F" w:rsidP="00190A7F">
            <w:pPr>
              <w:spacing w:before="120" w:after="120" w:line="240" w:lineRule="auto"/>
              <w:jc w:val="center"/>
            </w:pPr>
            <w:r>
              <w:t>12</w:t>
            </w:r>
          </w:p>
        </w:tc>
      </w:tr>
      <w:tr w:rsidR="00A71889" w:rsidRPr="003A58AB" w14:paraId="22A51E56" w14:textId="77777777" w:rsidTr="00190A7F">
        <w:trPr>
          <w:trHeight w:hRule="exact" w:val="397"/>
        </w:trPr>
        <w:tc>
          <w:tcPr>
            <w:tcW w:w="2898" w:type="dxa"/>
          </w:tcPr>
          <w:p w14:paraId="4D924C22" w14:textId="582FC7C1" w:rsidR="00A71889" w:rsidRDefault="00190A7F" w:rsidP="00086B8D">
            <w:pPr>
              <w:pStyle w:val="ListParagraph"/>
              <w:numPr>
                <w:ilvl w:val="0"/>
                <w:numId w:val="7"/>
              </w:numPr>
              <w:spacing w:before="120" w:after="120" w:line="240" w:lineRule="auto"/>
            </w:pPr>
            <w:r>
              <w:t>Vietnam</w:t>
            </w:r>
          </w:p>
        </w:tc>
        <w:tc>
          <w:tcPr>
            <w:tcW w:w="2913" w:type="dxa"/>
          </w:tcPr>
          <w:p w14:paraId="007F9251" w14:textId="67A50C57" w:rsidR="00A71889" w:rsidRDefault="00190A7F" w:rsidP="00190A7F">
            <w:pPr>
              <w:spacing w:before="120" w:after="120" w:line="240" w:lineRule="auto"/>
              <w:jc w:val="center"/>
            </w:pPr>
            <w:r>
              <w:t>437</w:t>
            </w:r>
          </w:p>
        </w:tc>
        <w:tc>
          <w:tcPr>
            <w:tcW w:w="3261" w:type="dxa"/>
          </w:tcPr>
          <w:p w14:paraId="391CD85C" w14:textId="0929FA73" w:rsidR="00A71889" w:rsidRDefault="00190A7F" w:rsidP="00190A7F">
            <w:pPr>
              <w:spacing w:before="120" w:after="120" w:line="240" w:lineRule="auto"/>
              <w:jc w:val="center"/>
            </w:pPr>
            <w:r>
              <w:t>31</w:t>
            </w:r>
          </w:p>
        </w:tc>
      </w:tr>
      <w:tr w:rsidR="00A71889" w:rsidRPr="003A58AB" w14:paraId="164EA062" w14:textId="77777777" w:rsidTr="00190A7F">
        <w:trPr>
          <w:trHeight w:hRule="exact" w:val="397"/>
        </w:trPr>
        <w:tc>
          <w:tcPr>
            <w:tcW w:w="2898" w:type="dxa"/>
          </w:tcPr>
          <w:p w14:paraId="3155F28D" w14:textId="293627F9" w:rsidR="00A71889" w:rsidRDefault="00190A7F" w:rsidP="00086B8D">
            <w:pPr>
              <w:pStyle w:val="ListParagraph"/>
              <w:numPr>
                <w:ilvl w:val="0"/>
                <w:numId w:val="7"/>
              </w:numPr>
              <w:spacing w:before="120" w:after="120" w:line="240" w:lineRule="auto"/>
            </w:pPr>
            <w:r>
              <w:t>Fiji</w:t>
            </w:r>
          </w:p>
        </w:tc>
        <w:tc>
          <w:tcPr>
            <w:tcW w:w="2913" w:type="dxa"/>
          </w:tcPr>
          <w:p w14:paraId="4946D4A7" w14:textId="10F1A7E5" w:rsidR="00A71889" w:rsidRDefault="00190A7F" w:rsidP="00190A7F">
            <w:pPr>
              <w:spacing w:before="120" w:after="120" w:line="240" w:lineRule="auto"/>
              <w:jc w:val="center"/>
            </w:pPr>
            <w:r>
              <w:t>409</w:t>
            </w:r>
          </w:p>
        </w:tc>
        <w:tc>
          <w:tcPr>
            <w:tcW w:w="3261" w:type="dxa"/>
          </w:tcPr>
          <w:p w14:paraId="3D58E4CF" w14:textId="2A79CFCA" w:rsidR="00A71889" w:rsidRDefault="00190A7F" w:rsidP="00190A7F">
            <w:pPr>
              <w:spacing w:before="120" w:after="120" w:line="240" w:lineRule="auto"/>
              <w:jc w:val="center"/>
            </w:pPr>
            <w:r>
              <w:t>6</w:t>
            </w:r>
          </w:p>
        </w:tc>
      </w:tr>
    </w:tbl>
    <w:p w14:paraId="111DC406" w14:textId="77777777" w:rsidR="003078E8" w:rsidRPr="003078E8" w:rsidRDefault="003078E8" w:rsidP="003078E8">
      <w:r w:rsidRPr="003078E8">
        <w:t xml:space="preserve">In 2024, Australians took more international outbound holidays than the previous year. However, as was the case for domestic holidays, the average length of outbound trips was slightly shorter in 2024, and the average spend per trip declined (by 1.2%). </w:t>
      </w:r>
    </w:p>
    <w:p w14:paraId="3DF5DF0A" w14:textId="462B78C2" w:rsidR="003078E8" w:rsidRPr="003078E8" w:rsidRDefault="003078E8" w:rsidP="003078E8">
      <w:r w:rsidRPr="003078E8">
        <w:t>By age, 15 to 29-year-olds were the largest outbound holiday age group</w:t>
      </w:r>
      <w:r w:rsidR="00364336">
        <w:t xml:space="preserve"> (according to NVS data, which is only available to the year-ending September 2024)</w:t>
      </w:r>
      <w:r w:rsidRPr="003078E8">
        <w:t>. This cohort accounted for more than one in 4 of all outbound holiday trips in 2024. This age group also recorded the strongest growth in outbound holiday travel in 2024, making it the largest contributor to growth in outbound traveller numbers in 2024</w:t>
      </w:r>
      <w:r w:rsidR="003B1368">
        <w:t xml:space="preserve"> (Figure 13)</w:t>
      </w:r>
      <w:r w:rsidRPr="003078E8">
        <w:t xml:space="preserve">. </w:t>
      </w:r>
    </w:p>
    <w:p w14:paraId="0D9B3D9B" w14:textId="7F38691C" w:rsidR="005A2E79" w:rsidRDefault="003078E8" w:rsidP="003078E8">
      <w:r w:rsidRPr="003078E8">
        <w:t xml:space="preserve">Australians aged 60 to 74 years were the age group most likely to holiday overseas (0.3 trips per person in 2024, followed by those aged 15 to 29 years and 45 to 59 years (0.28 trips). The cohort aged 75+ was least likely to holiday overseas and were 10 times more likely to take a domestic overnight holiday </w:t>
      </w:r>
      <w:r w:rsidR="00615EE4">
        <w:t>than</w:t>
      </w:r>
      <w:r w:rsidRPr="003078E8">
        <w:t xml:space="preserve"> an outbound holiday in 2024. On average across all age cohorts, Australians were 8 times more likely to take a domestic overnight holiday than an outbound holiday in 2024.</w:t>
      </w:r>
    </w:p>
    <w:p w14:paraId="338DD8F9" w14:textId="48DD6115" w:rsidR="005A2E79" w:rsidRDefault="005A2E79" w:rsidP="005A2E79">
      <w:pPr>
        <w:pStyle w:val="ListBullet"/>
        <w:keepNext/>
        <w:numPr>
          <w:ilvl w:val="0"/>
          <w:numId w:val="0"/>
        </w:numPr>
        <w:spacing w:line="300" w:lineRule="atLeast"/>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13</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0C1A69">
        <w:rPr>
          <w:rFonts w:ascii="Verdana" w:eastAsiaTheme="minorHAnsi" w:hAnsi="Verdana"/>
          <w:color w:val="300050" w:themeColor="text2"/>
          <w:lang w:eastAsia="en-US"/>
        </w:rPr>
        <w:t xml:space="preserve">Number of overseas holiday trips by age cohort in 2023 and in 2024, and the </w:t>
      </w:r>
      <w:r w:rsidR="00932982">
        <w:rPr>
          <w:rFonts w:ascii="Verdana" w:eastAsiaTheme="minorHAnsi" w:hAnsi="Verdana"/>
          <w:color w:val="300050" w:themeColor="text2"/>
          <w:lang w:eastAsia="en-US"/>
        </w:rPr>
        <w:t>number of trips per person in the age group</w:t>
      </w:r>
      <w:r w:rsidR="00CB2A1E">
        <w:rPr>
          <w:rFonts w:ascii="Verdana" w:eastAsiaTheme="minorHAnsi" w:hAnsi="Verdana"/>
          <w:color w:val="300050" w:themeColor="text2"/>
          <w:lang w:eastAsia="en-US"/>
        </w:rPr>
        <w:t xml:space="preserve"> in 2024</w:t>
      </w:r>
      <w:r w:rsidR="00932982">
        <w:rPr>
          <w:rFonts w:ascii="Verdana" w:eastAsiaTheme="minorHAnsi" w:hAnsi="Verdana"/>
          <w:color w:val="300050" w:themeColor="text2"/>
          <w:lang w:eastAsia="en-US"/>
        </w:rPr>
        <w:t xml:space="preserve"> (and change on 2023)</w:t>
      </w:r>
      <w:r>
        <w:rPr>
          <w:rFonts w:ascii="Verdana" w:eastAsiaTheme="minorHAnsi" w:hAnsi="Verdana"/>
          <w:color w:val="300050" w:themeColor="text2"/>
          <w:lang w:eastAsia="en-US"/>
        </w:rPr>
        <w:t>.</w:t>
      </w:r>
    </w:p>
    <w:p w14:paraId="1C7A59B4" w14:textId="1870D403" w:rsidR="003078E8" w:rsidRPr="003078E8" w:rsidRDefault="005A2E79" w:rsidP="00D57A54">
      <w:pPr>
        <w:spacing w:line="240" w:lineRule="atLeast"/>
        <w:jc w:val="center"/>
      </w:pPr>
      <w:r w:rsidRPr="005A2E79">
        <w:rPr>
          <w:noProof/>
        </w:rPr>
        <w:drawing>
          <wp:inline distT="0" distB="0" distL="0" distR="0" wp14:anchorId="4A3DFEB9" wp14:editId="5972D675">
            <wp:extent cx="5287645" cy="4229100"/>
            <wp:effectExtent l="0" t="0" r="8255" b="0"/>
            <wp:docPr id="1997445333" name="Picture 5" descr="This horizontal bar chart shows the number of overseas holiday trips in 2023 and in 2024 for the following age cohorts: 15 to 29 years, 30 to 44 years, 45 to 59 years, 60 to 74 years and 75+years. It also reports the number of overseas holiday trips per person in 2024 for each age group (called the propensity to travel) and the change in propensity compared with the same group in 2023. The age group 15 to 29 years had the most overseas holidays in 2024, was more likely than the average to holiday overseas and saw the fastest increase in propensity to holiday overseas compared with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5333" name="Picture 5" descr="This horizontal bar chart shows the number of overseas holiday trips in 2023 and in 2024 for the following age cohorts: 15 to 29 years, 30 to 44 years, 45 to 59 years, 60 to 74 years and 75+years. It also reports the number of overseas holiday trips per person in 2024 for each age group (called the propensity to travel) and the change in propensity compared with the same group in 2023. The age group 15 to 29 years had the most overseas holidays in 2024, was more likely than the average to holiday overseas and saw the fastest increase in propensity to holiday overseas compared with the previous year."/>
                    <pic:cNvPicPr>
                      <a:picLocks noChangeAspect="1" noChangeArrowheads="1"/>
                    </pic:cNvPicPr>
                  </pic:nvPicPr>
                  <pic:blipFill rotWithShape="1">
                    <a:blip r:embed="rId32">
                      <a:extLst>
                        <a:ext uri="{28A0092B-C50C-407E-A947-70E740481C1C}">
                          <a14:useLocalDpi xmlns:a14="http://schemas.microsoft.com/office/drawing/2010/main" val="0"/>
                        </a:ext>
                      </a:extLst>
                    </a:blip>
                    <a:srcRect l="42187" t="11481" b="9167"/>
                    <a:stretch/>
                  </pic:blipFill>
                  <pic:spPr bwMode="auto">
                    <a:xfrm>
                      <a:off x="0" y="0"/>
                      <a:ext cx="5288400" cy="4229704"/>
                    </a:xfrm>
                    <a:prstGeom prst="rect">
                      <a:avLst/>
                    </a:prstGeom>
                    <a:noFill/>
                    <a:ln>
                      <a:noFill/>
                    </a:ln>
                    <a:extLst>
                      <a:ext uri="{53640926-AAD7-44D8-BBD7-CCE9431645EC}">
                        <a14:shadowObscured xmlns:a14="http://schemas.microsoft.com/office/drawing/2010/main"/>
                      </a:ext>
                    </a:extLst>
                  </pic:spPr>
                </pic:pic>
              </a:graphicData>
            </a:graphic>
          </wp:inline>
        </w:drawing>
      </w:r>
    </w:p>
    <w:p w14:paraId="04A47B68" w14:textId="29236A21" w:rsidR="000C584F" w:rsidRPr="000C584F" w:rsidRDefault="000C584F" w:rsidP="000C584F">
      <w:r w:rsidRPr="000C584F">
        <w:t>While the 15 to 29-year age group travel</w:t>
      </w:r>
      <w:r w:rsidR="00890486">
        <w:t>led</w:t>
      </w:r>
      <w:r w:rsidRPr="000C584F">
        <w:t xml:space="preserve"> the most, it ha</w:t>
      </w:r>
      <w:r w:rsidR="00890486">
        <w:t>d</w:t>
      </w:r>
      <w:r w:rsidRPr="000C584F">
        <w:t xml:space="preserve"> a much lower average spend per trip – approximately half that of other age groups. Older age groups</w:t>
      </w:r>
      <w:r w:rsidR="009A631E">
        <w:t xml:space="preserve"> </w:t>
      </w:r>
      <w:r w:rsidRPr="000C584F">
        <w:t>with those aged 45 to 59 years reporting the highest average spend per night at almost $800 in 2024</w:t>
      </w:r>
      <w:r w:rsidR="00DC3526">
        <w:t xml:space="preserve"> (Figure 14)</w:t>
      </w:r>
      <w:r w:rsidRPr="000C584F">
        <w:t xml:space="preserve">. </w:t>
      </w:r>
    </w:p>
    <w:p w14:paraId="351EE779" w14:textId="77777777" w:rsidR="000C584F" w:rsidRPr="000C584F" w:rsidRDefault="000C584F" w:rsidP="000C584F">
      <w:r w:rsidRPr="000C584F">
        <w:t xml:space="preserve">Interestingly, 15 to 29-year-olds reduced their average spend per night on international holiday trips in 2024 on 2023, while those aged 75+ recorded the strongest increase in trip spend and spend per night in 2024 on 2023. </w:t>
      </w:r>
    </w:p>
    <w:p w14:paraId="7DA2EA9D" w14:textId="0FCDDBB0" w:rsidR="000C584F" w:rsidRDefault="000C584F" w:rsidP="000C584F">
      <w:r w:rsidRPr="000C584F">
        <w:t>In contrast, the 30 to 44-year age group – which was a prominent age group for domestic holiday travel</w:t>
      </w:r>
      <w:r>
        <w:t xml:space="preserve"> </w:t>
      </w:r>
      <w:r w:rsidRPr="000C584F">
        <w:t>– recorded the strongest fall</w:t>
      </w:r>
      <w:r>
        <w:t>s</w:t>
      </w:r>
      <w:r w:rsidRPr="000C584F">
        <w:t xml:space="preserve"> in average trip length and average trip spend in 2024 </w:t>
      </w:r>
      <w:r>
        <w:t>compared with</w:t>
      </w:r>
      <w:r w:rsidRPr="000C584F">
        <w:t xml:space="preserve"> 2023. </w:t>
      </w:r>
    </w:p>
    <w:p w14:paraId="7EA17A6F" w14:textId="3125F9D8" w:rsidR="003B1368" w:rsidRDefault="003B1368" w:rsidP="003B1368">
      <w:pPr>
        <w:pStyle w:val="ListBullet"/>
        <w:keepNext/>
        <w:numPr>
          <w:ilvl w:val="0"/>
          <w:numId w:val="0"/>
        </w:numPr>
        <w:spacing w:line="300" w:lineRule="atLeast"/>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3B1622">
        <w:rPr>
          <w:rFonts w:ascii="Verdana" w:eastAsiaTheme="minorHAnsi" w:hAnsi="Verdana"/>
          <w:b/>
          <w:bCs/>
          <w:noProof/>
          <w:color w:val="300050" w:themeColor="text2"/>
          <w:lang w:eastAsia="en-US"/>
        </w:rPr>
        <w:t>14</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Pr>
          <w:rFonts w:ascii="Verdana" w:eastAsiaTheme="minorHAnsi" w:hAnsi="Verdana"/>
          <w:color w:val="300050" w:themeColor="text2"/>
          <w:lang w:eastAsia="en-US"/>
        </w:rPr>
        <w:t>Number of overseas holiday trips by age cohort in 2023 and in 2024, and the number of trips per person in the age group in 2024 (and change on 2023).</w:t>
      </w:r>
    </w:p>
    <w:p w14:paraId="30566D07" w14:textId="136AFED7" w:rsidR="003B1368" w:rsidRPr="000C584F" w:rsidRDefault="003B1368" w:rsidP="003B1368">
      <w:pPr>
        <w:spacing w:line="240" w:lineRule="atLeast"/>
      </w:pPr>
      <w:r>
        <w:rPr>
          <w:noProof/>
        </w:rPr>
        <w:drawing>
          <wp:inline distT="0" distB="0" distL="0" distR="0" wp14:anchorId="0ABF425E" wp14:editId="472C6DAC">
            <wp:extent cx="5991127" cy="4154805"/>
            <wp:effectExtent l="0" t="0" r="0" b="0"/>
            <wp:docPr id="624176227" name="Graphic 1" descr="This column chart shows the average spend per night for international holiday trips in 2023 and in 2024 for the following age cohorts: 15 to 29 years, 30 to 44 years, 45 to 59 years, 60 to 74 years and 75+years. It also reports the average spend per international holiday trip in 2024 for each age group. The age groups 45 to 59 years and 75+ years both reported higher average spend per night, higher average spend per trip and faster growth in average spend per night in 2024 compared with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76227" name="Graphic 1" descr="This column chart shows the average spend per night for international holiday trips in 2023 and in 2024 for the following age cohorts: 15 to 29 years, 30 to 44 years, 45 to 59 years, 60 to 74 years and 75+years. It also reports the average spend per international holiday trip in 2024 for each age group. The age groups 45 to 59 years and 75+ years both reported higher average spend per night, higher average spend per trip and faster growth in average spend per night in 2024 compared with 2023. "/>
                    <pic:cNvPicPr/>
                  </pic:nvPicPr>
                  <pic:blipFill rotWithShape="1">
                    <a:blip r:embed="rId33">
                      <a:extLst>
                        <a:ext uri="{96DAC541-7B7A-43D3-8B79-37D633B846F1}">
                          <asvg:svgBlip xmlns:asvg="http://schemas.microsoft.com/office/drawing/2016/SVG/main" r:embed="rId34"/>
                        </a:ext>
                      </a:extLst>
                    </a:blip>
                    <a:srcRect l="36266" t="20867" r="4745" b="6367"/>
                    <a:stretch/>
                  </pic:blipFill>
                  <pic:spPr bwMode="auto">
                    <a:xfrm>
                      <a:off x="0" y="0"/>
                      <a:ext cx="5994546" cy="4157176"/>
                    </a:xfrm>
                    <a:prstGeom prst="rect">
                      <a:avLst/>
                    </a:prstGeom>
                    <a:ln>
                      <a:noFill/>
                    </a:ln>
                    <a:extLst>
                      <a:ext uri="{53640926-AAD7-44D8-BBD7-CCE9431645EC}">
                        <a14:shadowObscured xmlns:a14="http://schemas.microsoft.com/office/drawing/2010/main"/>
                      </a:ext>
                    </a:extLst>
                  </pic:spPr>
                </pic:pic>
              </a:graphicData>
            </a:graphic>
          </wp:inline>
        </w:drawing>
      </w:r>
    </w:p>
    <w:p w14:paraId="61E003D7" w14:textId="77777777" w:rsidR="00DD2FDA" w:rsidRDefault="00DD2FDA">
      <w:pPr>
        <w:spacing w:before="0" w:after="160" w:line="259" w:lineRule="auto"/>
        <w:rPr>
          <w:rFonts w:eastAsia="SimSun" w:cs="Times New Roman"/>
          <w:bCs/>
          <w:color w:val="441D4A" w:themeColor="accent1" w:themeShade="80"/>
          <w:sz w:val="32"/>
          <w:szCs w:val="26"/>
          <w:lang w:eastAsia="zh-CN"/>
        </w:rPr>
      </w:pPr>
      <w:r>
        <w:br w:type="page"/>
      </w:r>
    </w:p>
    <w:p w14:paraId="7E64C687" w14:textId="77777777" w:rsidR="005707EE" w:rsidRDefault="0036057B" w:rsidP="0036057B">
      <w:pPr>
        <w:pStyle w:val="Heading2"/>
      </w:pPr>
      <w:bookmarkStart w:id="19" w:name="_Toc200703620"/>
      <w:r w:rsidRPr="0036057B">
        <w:lastRenderedPageBreak/>
        <w:t>Industry, operators and investment</w:t>
      </w:r>
      <w:bookmarkEnd w:id="19"/>
      <w:r w:rsidR="00DD2FDA">
        <w:t xml:space="preserve"> </w:t>
      </w:r>
    </w:p>
    <w:p w14:paraId="09571607" w14:textId="1D1341BC" w:rsidR="0036057B" w:rsidRDefault="004428C2" w:rsidP="004428C2">
      <w:pPr>
        <w:pStyle w:val="Heading3"/>
      </w:pPr>
      <w:bookmarkStart w:id="20" w:name="_Toc200703621"/>
      <w:r>
        <w:t>S</w:t>
      </w:r>
      <w:r w:rsidR="00DD2FDA">
        <w:t>ummary</w:t>
      </w:r>
      <w:r>
        <w:t xml:space="preserve"> of visitor economy supply </w:t>
      </w:r>
      <w:r w:rsidR="009D2820">
        <w:t>and capacity use</w:t>
      </w:r>
      <w:bookmarkEnd w:id="20"/>
    </w:p>
    <w:tbl>
      <w:tblPr>
        <w:tblStyle w:val="TableGrid"/>
        <w:tblW w:w="0" w:type="auto"/>
        <w:tblLook w:val="04A0" w:firstRow="1" w:lastRow="0" w:firstColumn="1" w:lastColumn="0" w:noHBand="0" w:noVBand="1"/>
      </w:tblPr>
      <w:tblGrid>
        <w:gridCol w:w="2122"/>
        <w:gridCol w:w="4110"/>
        <w:gridCol w:w="1560"/>
        <w:gridCol w:w="2166"/>
      </w:tblGrid>
      <w:tr w:rsidR="00B8583C" w:rsidRPr="003A58AB" w14:paraId="34A4C4BC" w14:textId="409F5A7A" w:rsidTr="00DC7C69">
        <w:trPr>
          <w:tblHeader/>
        </w:trPr>
        <w:tc>
          <w:tcPr>
            <w:tcW w:w="2122" w:type="dxa"/>
            <w:shd w:val="clear" w:color="auto" w:fill="300050" w:themeFill="text2"/>
          </w:tcPr>
          <w:p w14:paraId="568C8DAF" w14:textId="2C19F14D" w:rsidR="00B8583C" w:rsidRPr="003A58AB" w:rsidRDefault="00B8583C" w:rsidP="002A3BF1">
            <w:pPr>
              <w:rPr>
                <w:b/>
                <w:color w:val="FFFFFF" w:themeColor="background1"/>
              </w:rPr>
            </w:pPr>
            <w:r>
              <w:rPr>
                <w:b/>
                <w:color w:val="FFFFFF" w:themeColor="background1"/>
              </w:rPr>
              <w:t>Metric</w:t>
            </w:r>
          </w:p>
        </w:tc>
        <w:tc>
          <w:tcPr>
            <w:tcW w:w="4110" w:type="dxa"/>
            <w:shd w:val="clear" w:color="auto" w:fill="300050" w:themeFill="text2"/>
          </w:tcPr>
          <w:p w14:paraId="69245DCB" w14:textId="699686A7" w:rsidR="00B8583C" w:rsidRPr="003A58AB" w:rsidRDefault="00B8583C" w:rsidP="002A3BF1">
            <w:pPr>
              <w:rPr>
                <w:b/>
                <w:color w:val="FFFFFF" w:themeColor="background1"/>
              </w:rPr>
            </w:pPr>
            <w:r>
              <w:rPr>
                <w:b/>
                <w:color w:val="FFFFFF" w:themeColor="background1"/>
              </w:rPr>
              <w:t>Description</w:t>
            </w:r>
          </w:p>
        </w:tc>
        <w:tc>
          <w:tcPr>
            <w:tcW w:w="1560" w:type="dxa"/>
            <w:shd w:val="clear" w:color="auto" w:fill="300050" w:themeFill="text2"/>
          </w:tcPr>
          <w:p w14:paraId="332F322D" w14:textId="10085D99" w:rsidR="00B8583C" w:rsidRPr="003A58AB" w:rsidRDefault="00B8583C" w:rsidP="00DC7C69">
            <w:pPr>
              <w:jc w:val="center"/>
              <w:rPr>
                <w:b/>
                <w:color w:val="FFFFFF" w:themeColor="background1"/>
              </w:rPr>
            </w:pPr>
            <w:r>
              <w:rPr>
                <w:b/>
                <w:color w:val="FFFFFF" w:themeColor="background1"/>
              </w:rPr>
              <w:t>Value in 2024</w:t>
            </w:r>
          </w:p>
        </w:tc>
        <w:tc>
          <w:tcPr>
            <w:tcW w:w="2166" w:type="dxa"/>
            <w:shd w:val="clear" w:color="auto" w:fill="300050" w:themeFill="text2"/>
          </w:tcPr>
          <w:p w14:paraId="3C5ECC24" w14:textId="0302F484" w:rsidR="00B8583C" w:rsidRDefault="00B8583C" w:rsidP="00DC7C69">
            <w:pPr>
              <w:jc w:val="center"/>
              <w:rPr>
                <w:b/>
                <w:color w:val="FFFFFF" w:themeColor="background1"/>
              </w:rPr>
            </w:pPr>
            <w:r>
              <w:rPr>
                <w:b/>
                <w:color w:val="FFFFFF" w:themeColor="background1"/>
              </w:rPr>
              <w:t>Change between 2023 and 2024</w:t>
            </w:r>
          </w:p>
        </w:tc>
      </w:tr>
      <w:tr w:rsidR="00B8583C" w:rsidRPr="003A58AB" w14:paraId="2454C26F" w14:textId="02ACE2B5" w:rsidTr="00DC7C69">
        <w:trPr>
          <w:trHeight w:hRule="exact" w:val="907"/>
        </w:trPr>
        <w:tc>
          <w:tcPr>
            <w:tcW w:w="2122" w:type="dxa"/>
            <w:vAlign w:val="center"/>
          </w:tcPr>
          <w:p w14:paraId="301C38B7" w14:textId="3B77062D" w:rsidR="00B8583C" w:rsidRPr="003A58AB" w:rsidRDefault="00B8583C" w:rsidP="00B8583C">
            <w:pPr>
              <w:spacing w:line="240" w:lineRule="auto"/>
            </w:pPr>
            <w:r w:rsidRPr="00C71A59">
              <w:rPr>
                <w:rFonts w:asciiTheme="majorHAnsi" w:hAnsiTheme="majorHAnsi"/>
                <w:sz w:val="18"/>
                <w:szCs w:val="18"/>
              </w:rPr>
              <w:t>Accommodation rooms</w:t>
            </w:r>
          </w:p>
        </w:tc>
        <w:tc>
          <w:tcPr>
            <w:tcW w:w="4110" w:type="dxa"/>
            <w:vAlign w:val="center"/>
          </w:tcPr>
          <w:p w14:paraId="45B884D8" w14:textId="633C75C3" w:rsidR="00B8583C" w:rsidRPr="003A58AB" w:rsidRDefault="00B8583C" w:rsidP="00461A4F">
            <w:pPr>
              <w:spacing w:before="120" w:line="240" w:lineRule="auto"/>
            </w:pPr>
            <w:r w:rsidRPr="00C71A59">
              <w:rPr>
                <w:rFonts w:asciiTheme="majorHAnsi" w:hAnsiTheme="majorHAnsi"/>
                <w:sz w:val="18"/>
                <w:szCs w:val="18"/>
              </w:rPr>
              <w:t>Total number of rooms available in accommodation establishments with 10 rooms or more (as at December)</w:t>
            </w:r>
          </w:p>
        </w:tc>
        <w:tc>
          <w:tcPr>
            <w:tcW w:w="1560" w:type="dxa"/>
            <w:vAlign w:val="center"/>
          </w:tcPr>
          <w:p w14:paraId="52CD2D6E" w14:textId="14DF533E" w:rsidR="00B8583C" w:rsidRPr="003A58AB" w:rsidRDefault="00B8583C" w:rsidP="00DC7C69">
            <w:pPr>
              <w:spacing w:line="240" w:lineRule="auto"/>
              <w:jc w:val="center"/>
            </w:pPr>
            <w:r w:rsidRPr="00C71A59">
              <w:rPr>
                <w:rFonts w:asciiTheme="majorHAnsi" w:hAnsiTheme="majorHAnsi"/>
                <w:sz w:val="18"/>
                <w:szCs w:val="18"/>
              </w:rPr>
              <w:t>335,300</w:t>
            </w:r>
          </w:p>
        </w:tc>
        <w:tc>
          <w:tcPr>
            <w:tcW w:w="2166" w:type="dxa"/>
            <w:vAlign w:val="center"/>
          </w:tcPr>
          <w:p w14:paraId="3D81FEB0" w14:textId="5689229A" w:rsidR="00B8583C" w:rsidRPr="003A58AB" w:rsidRDefault="00B8583C" w:rsidP="00DC7C69">
            <w:pPr>
              <w:spacing w:line="240" w:lineRule="auto"/>
              <w:jc w:val="center"/>
            </w:pPr>
            <w:r w:rsidRPr="00C71A59">
              <w:rPr>
                <w:rFonts w:asciiTheme="majorHAnsi" w:hAnsiTheme="majorHAnsi"/>
                <w:sz w:val="18"/>
                <w:szCs w:val="18"/>
              </w:rPr>
              <w:t>+2.1%</w:t>
            </w:r>
          </w:p>
        </w:tc>
      </w:tr>
      <w:tr w:rsidR="00B8583C" w:rsidRPr="003A58AB" w14:paraId="1C87E9BE" w14:textId="5A956D4B" w:rsidTr="00DC7C69">
        <w:trPr>
          <w:trHeight w:hRule="exact" w:val="907"/>
        </w:trPr>
        <w:tc>
          <w:tcPr>
            <w:tcW w:w="2122" w:type="dxa"/>
            <w:vAlign w:val="center"/>
          </w:tcPr>
          <w:p w14:paraId="62B3DE42" w14:textId="35FD0CAB" w:rsidR="00B8583C" w:rsidRPr="003A58AB" w:rsidRDefault="00B8583C" w:rsidP="00B8583C">
            <w:pPr>
              <w:spacing w:line="240" w:lineRule="auto"/>
            </w:pPr>
            <w:r w:rsidRPr="00C71A59">
              <w:rPr>
                <w:rFonts w:asciiTheme="majorHAnsi" w:hAnsiTheme="majorHAnsi"/>
                <w:sz w:val="18"/>
                <w:szCs w:val="18"/>
              </w:rPr>
              <w:t>Accommodation occupancy</w:t>
            </w:r>
          </w:p>
        </w:tc>
        <w:tc>
          <w:tcPr>
            <w:tcW w:w="4110" w:type="dxa"/>
            <w:vAlign w:val="center"/>
          </w:tcPr>
          <w:p w14:paraId="29628430" w14:textId="5544EBB7" w:rsidR="00B8583C" w:rsidRPr="003A58AB" w:rsidRDefault="00B8583C" w:rsidP="00461A4F">
            <w:pPr>
              <w:spacing w:before="120" w:line="240" w:lineRule="auto"/>
            </w:pPr>
            <w:r w:rsidRPr="00C71A59">
              <w:rPr>
                <w:rFonts w:asciiTheme="majorHAnsi" w:hAnsiTheme="majorHAnsi"/>
                <w:sz w:val="18"/>
                <w:szCs w:val="18"/>
              </w:rPr>
              <w:t>Percentage of rooms sold, or occupied, in establishments with 10 rooms or more (average for the year)</w:t>
            </w:r>
          </w:p>
        </w:tc>
        <w:tc>
          <w:tcPr>
            <w:tcW w:w="1560" w:type="dxa"/>
            <w:vAlign w:val="center"/>
          </w:tcPr>
          <w:p w14:paraId="4375E2BB" w14:textId="1C978E04" w:rsidR="00B8583C" w:rsidRPr="003A58AB" w:rsidRDefault="00B8583C" w:rsidP="00DC7C69">
            <w:pPr>
              <w:spacing w:line="240" w:lineRule="auto"/>
              <w:jc w:val="center"/>
            </w:pPr>
            <w:r w:rsidRPr="00C71A59">
              <w:rPr>
                <w:rFonts w:asciiTheme="majorHAnsi" w:hAnsiTheme="majorHAnsi"/>
                <w:sz w:val="18"/>
                <w:szCs w:val="18"/>
              </w:rPr>
              <w:t>71.4%</w:t>
            </w:r>
          </w:p>
        </w:tc>
        <w:tc>
          <w:tcPr>
            <w:tcW w:w="2166" w:type="dxa"/>
            <w:vAlign w:val="center"/>
          </w:tcPr>
          <w:p w14:paraId="318EBA47" w14:textId="7D2FED91" w:rsidR="00B8583C" w:rsidRPr="003A58AB" w:rsidRDefault="00B8583C" w:rsidP="00DC7C69">
            <w:pPr>
              <w:spacing w:line="240" w:lineRule="auto"/>
              <w:jc w:val="center"/>
            </w:pPr>
            <w:r w:rsidRPr="00C71A59">
              <w:rPr>
                <w:rFonts w:asciiTheme="majorHAnsi" w:hAnsiTheme="majorHAnsi"/>
                <w:sz w:val="18"/>
                <w:szCs w:val="18"/>
              </w:rPr>
              <w:t>+2.3%</w:t>
            </w:r>
          </w:p>
        </w:tc>
      </w:tr>
      <w:tr w:rsidR="00B8583C" w:rsidRPr="003A58AB" w14:paraId="67C7622B" w14:textId="77777777" w:rsidTr="00DC7C69">
        <w:trPr>
          <w:trHeight w:hRule="exact" w:val="907"/>
        </w:trPr>
        <w:tc>
          <w:tcPr>
            <w:tcW w:w="2122" w:type="dxa"/>
            <w:vAlign w:val="center"/>
          </w:tcPr>
          <w:p w14:paraId="648089E2" w14:textId="68C6945C"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International aviation seats</w:t>
            </w:r>
          </w:p>
        </w:tc>
        <w:tc>
          <w:tcPr>
            <w:tcW w:w="4110" w:type="dxa"/>
            <w:vAlign w:val="center"/>
          </w:tcPr>
          <w:p w14:paraId="32369059" w14:textId="2536744D"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Total number of seats available on flights to Australia</w:t>
            </w:r>
          </w:p>
        </w:tc>
        <w:tc>
          <w:tcPr>
            <w:tcW w:w="1560" w:type="dxa"/>
            <w:vAlign w:val="center"/>
          </w:tcPr>
          <w:p w14:paraId="724C8530" w14:textId="35187083"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25.9 million</w:t>
            </w:r>
          </w:p>
        </w:tc>
        <w:tc>
          <w:tcPr>
            <w:tcW w:w="2166" w:type="dxa"/>
            <w:vAlign w:val="center"/>
          </w:tcPr>
          <w:p w14:paraId="7C9E80FD" w14:textId="05A11075"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+14.7%</w:t>
            </w:r>
          </w:p>
        </w:tc>
      </w:tr>
      <w:tr w:rsidR="00B8583C" w:rsidRPr="003A58AB" w14:paraId="1AD7983E" w14:textId="77777777" w:rsidTr="00DC7C69">
        <w:trPr>
          <w:trHeight w:hRule="exact" w:val="907"/>
        </w:trPr>
        <w:tc>
          <w:tcPr>
            <w:tcW w:w="2122" w:type="dxa"/>
            <w:vAlign w:val="center"/>
          </w:tcPr>
          <w:p w14:paraId="6BE5A123" w14:textId="0F011B32"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International aviation load factor</w:t>
            </w:r>
          </w:p>
        </w:tc>
        <w:tc>
          <w:tcPr>
            <w:tcW w:w="4110" w:type="dxa"/>
            <w:vAlign w:val="center"/>
          </w:tcPr>
          <w:p w14:paraId="6363A79C" w14:textId="387CF39A"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Percentage of seats on flights into Australia occupied by revenue passengers</w:t>
            </w:r>
          </w:p>
        </w:tc>
        <w:tc>
          <w:tcPr>
            <w:tcW w:w="1560" w:type="dxa"/>
            <w:vAlign w:val="center"/>
          </w:tcPr>
          <w:p w14:paraId="0121FB18" w14:textId="2C9A3BC1"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81.6%</w:t>
            </w:r>
          </w:p>
        </w:tc>
        <w:tc>
          <w:tcPr>
            <w:tcW w:w="2166" w:type="dxa"/>
            <w:vAlign w:val="center"/>
          </w:tcPr>
          <w:p w14:paraId="0FAA7F05" w14:textId="33F328AA"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-0.7%</w:t>
            </w:r>
          </w:p>
        </w:tc>
      </w:tr>
      <w:tr w:rsidR="00B8583C" w:rsidRPr="003A58AB" w14:paraId="28A92DB4" w14:textId="77777777" w:rsidTr="00DC7C69">
        <w:trPr>
          <w:trHeight w:hRule="exact" w:val="907"/>
        </w:trPr>
        <w:tc>
          <w:tcPr>
            <w:tcW w:w="2122" w:type="dxa"/>
            <w:vAlign w:val="center"/>
          </w:tcPr>
          <w:p w14:paraId="46425017" w14:textId="126BDB86"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Domestic aviation seats</w:t>
            </w:r>
          </w:p>
        </w:tc>
        <w:tc>
          <w:tcPr>
            <w:tcW w:w="4110" w:type="dxa"/>
            <w:vAlign w:val="center"/>
          </w:tcPr>
          <w:p w14:paraId="79076FD3" w14:textId="4ED16E62"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Number of seats available to people flying within Australia</w:t>
            </w:r>
          </w:p>
        </w:tc>
        <w:tc>
          <w:tcPr>
            <w:tcW w:w="1560" w:type="dxa"/>
            <w:vAlign w:val="center"/>
          </w:tcPr>
          <w:p w14:paraId="2D59D9F4" w14:textId="5384831C"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74.3 million</w:t>
            </w:r>
          </w:p>
        </w:tc>
        <w:tc>
          <w:tcPr>
            <w:tcW w:w="2166" w:type="dxa"/>
            <w:vAlign w:val="center"/>
          </w:tcPr>
          <w:p w14:paraId="6B0B397C" w14:textId="1DA6BD63"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+1.9%</w:t>
            </w:r>
          </w:p>
        </w:tc>
      </w:tr>
      <w:tr w:rsidR="00B8583C" w:rsidRPr="003A58AB" w14:paraId="5E76D9F8" w14:textId="77777777" w:rsidTr="00DC7C69">
        <w:trPr>
          <w:trHeight w:hRule="exact" w:val="907"/>
        </w:trPr>
        <w:tc>
          <w:tcPr>
            <w:tcW w:w="2122" w:type="dxa"/>
            <w:vAlign w:val="center"/>
          </w:tcPr>
          <w:p w14:paraId="35B9A16C" w14:textId="20BC4E3E"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Domestic aviation load factor</w:t>
            </w:r>
          </w:p>
        </w:tc>
        <w:tc>
          <w:tcPr>
            <w:tcW w:w="4110" w:type="dxa"/>
            <w:vAlign w:val="center"/>
          </w:tcPr>
          <w:p w14:paraId="2D7273DE" w14:textId="73125ABD"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Percentage of seats on domestic flights occupied by revenue passengers</w:t>
            </w:r>
          </w:p>
        </w:tc>
        <w:tc>
          <w:tcPr>
            <w:tcW w:w="1560" w:type="dxa"/>
            <w:vAlign w:val="center"/>
          </w:tcPr>
          <w:p w14:paraId="1AD3E378" w14:textId="22300A09"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81.8%</w:t>
            </w:r>
          </w:p>
        </w:tc>
        <w:tc>
          <w:tcPr>
            <w:tcW w:w="2166" w:type="dxa"/>
            <w:vAlign w:val="center"/>
          </w:tcPr>
          <w:p w14:paraId="4DCA2193" w14:textId="27FDBB09"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+1.6%</w:t>
            </w:r>
          </w:p>
        </w:tc>
      </w:tr>
      <w:tr w:rsidR="00B8583C" w:rsidRPr="003A58AB" w14:paraId="7351716D" w14:textId="77777777" w:rsidTr="00DC7C69">
        <w:trPr>
          <w:trHeight w:hRule="exact" w:val="907"/>
        </w:trPr>
        <w:tc>
          <w:tcPr>
            <w:tcW w:w="2122" w:type="dxa"/>
            <w:vAlign w:val="center"/>
          </w:tcPr>
          <w:p w14:paraId="6C038AD3" w14:textId="36B4567E"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Tourism jobs</w:t>
            </w:r>
          </w:p>
        </w:tc>
        <w:tc>
          <w:tcPr>
            <w:tcW w:w="4110" w:type="dxa"/>
            <w:vAlign w:val="center"/>
          </w:tcPr>
          <w:p w14:paraId="5EF1B131" w14:textId="3F66ED8D"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Number of filled jobs in the tourism industry (as of December)</w:t>
            </w:r>
          </w:p>
        </w:tc>
        <w:tc>
          <w:tcPr>
            <w:tcW w:w="1560" w:type="dxa"/>
            <w:vAlign w:val="center"/>
          </w:tcPr>
          <w:p w14:paraId="79279E68" w14:textId="6AB40287"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713,500</w:t>
            </w:r>
          </w:p>
        </w:tc>
        <w:tc>
          <w:tcPr>
            <w:tcW w:w="2166" w:type="dxa"/>
            <w:vAlign w:val="center"/>
          </w:tcPr>
          <w:p w14:paraId="7FF4F46A" w14:textId="16D1D9C0"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+2.5%</w:t>
            </w:r>
          </w:p>
        </w:tc>
      </w:tr>
      <w:tr w:rsidR="00B8583C" w:rsidRPr="003A58AB" w14:paraId="471A3115" w14:textId="77777777" w:rsidTr="00DC7C69">
        <w:trPr>
          <w:trHeight w:hRule="exact" w:val="907"/>
        </w:trPr>
        <w:tc>
          <w:tcPr>
            <w:tcW w:w="2122" w:type="dxa"/>
            <w:vAlign w:val="center"/>
          </w:tcPr>
          <w:p w14:paraId="7CF241A3" w14:textId="0B9B5306"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Tourism job vacancies</w:t>
            </w:r>
          </w:p>
        </w:tc>
        <w:tc>
          <w:tcPr>
            <w:tcW w:w="4110" w:type="dxa"/>
            <w:vAlign w:val="center"/>
          </w:tcPr>
          <w:p w14:paraId="74CCFE6D" w14:textId="60CCD077"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Number of tourism-related job vacancies advertised online (as of December)</w:t>
            </w:r>
          </w:p>
        </w:tc>
        <w:tc>
          <w:tcPr>
            <w:tcW w:w="1560" w:type="dxa"/>
            <w:vAlign w:val="center"/>
          </w:tcPr>
          <w:p w14:paraId="7749914F" w14:textId="2C66436B"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13,400</w:t>
            </w:r>
          </w:p>
        </w:tc>
        <w:tc>
          <w:tcPr>
            <w:tcW w:w="2166" w:type="dxa"/>
            <w:vAlign w:val="center"/>
          </w:tcPr>
          <w:p w14:paraId="5C586B53" w14:textId="6A351FB5"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-8.8%</w:t>
            </w:r>
          </w:p>
        </w:tc>
      </w:tr>
      <w:tr w:rsidR="00B8583C" w:rsidRPr="003A58AB" w14:paraId="24FDCC31" w14:textId="77777777" w:rsidTr="00DC7C69">
        <w:trPr>
          <w:trHeight w:hRule="exact" w:val="907"/>
        </w:trPr>
        <w:tc>
          <w:tcPr>
            <w:tcW w:w="2122" w:type="dxa"/>
            <w:vAlign w:val="center"/>
          </w:tcPr>
          <w:p w14:paraId="4C76AA0C" w14:textId="130E59AB"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Tourism businesses</w:t>
            </w:r>
          </w:p>
        </w:tc>
        <w:tc>
          <w:tcPr>
            <w:tcW w:w="4110" w:type="dxa"/>
            <w:vAlign w:val="center"/>
          </w:tcPr>
          <w:p w14:paraId="7F6679E1" w14:textId="2892B2B7" w:rsidR="00B8583C" w:rsidRPr="00C71A59" w:rsidRDefault="00B8583C" w:rsidP="00461A4F">
            <w:pPr>
              <w:spacing w:before="120" w:line="240" w:lineRule="auto"/>
              <w:rPr>
                <w:rFonts w:asciiTheme="majorHAnsi" w:hAnsiTheme="majorHAnsi"/>
                <w:sz w:val="18"/>
                <w:szCs w:val="18"/>
              </w:rPr>
            </w:pPr>
            <w:r w:rsidRPr="00C71A59">
              <w:rPr>
                <w:rFonts w:asciiTheme="majorHAnsi" w:hAnsiTheme="majorHAnsi"/>
                <w:sz w:val="18"/>
                <w:szCs w:val="18"/>
              </w:rPr>
              <w:t>Number of Australian businesses in tourism-related industries (as at end June)</w:t>
            </w:r>
          </w:p>
        </w:tc>
        <w:tc>
          <w:tcPr>
            <w:tcW w:w="1560" w:type="dxa"/>
            <w:vAlign w:val="center"/>
          </w:tcPr>
          <w:p w14:paraId="195E9FAE" w14:textId="1EDED5CC"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360,200</w:t>
            </w:r>
          </w:p>
        </w:tc>
        <w:tc>
          <w:tcPr>
            <w:tcW w:w="2166" w:type="dxa"/>
            <w:vAlign w:val="center"/>
          </w:tcPr>
          <w:p w14:paraId="5E20A243" w14:textId="65BCB93E"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+1.0%</w:t>
            </w:r>
          </w:p>
        </w:tc>
      </w:tr>
      <w:tr w:rsidR="00B8583C" w:rsidRPr="003A58AB" w14:paraId="28442E51" w14:textId="77777777" w:rsidTr="00DC7C69">
        <w:trPr>
          <w:trHeight w:hRule="exact" w:val="907"/>
        </w:trPr>
        <w:tc>
          <w:tcPr>
            <w:tcW w:w="2122" w:type="dxa"/>
            <w:vAlign w:val="center"/>
          </w:tcPr>
          <w:p w14:paraId="47E5AD18" w14:textId="141B59F7" w:rsidR="00B8583C" w:rsidRPr="00C71A59" w:rsidRDefault="00B8583C" w:rsidP="00B8583C">
            <w:pPr>
              <w:spacing w:line="240" w:lineRule="auto"/>
              <w:rPr>
                <w:rFonts w:asciiTheme="majorHAnsi" w:hAnsiTheme="majorHAnsi"/>
                <w:sz w:val="18"/>
                <w:szCs w:val="18"/>
              </w:rPr>
            </w:pPr>
            <w:r w:rsidRPr="00C71A59">
              <w:rPr>
                <w:rFonts w:asciiTheme="majorHAnsi" w:hAnsiTheme="majorHAnsi"/>
                <w:sz w:val="18"/>
                <w:szCs w:val="18"/>
              </w:rPr>
              <w:t>Tourism investment</w:t>
            </w:r>
          </w:p>
        </w:tc>
        <w:tc>
          <w:tcPr>
            <w:tcW w:w="4110" w:type="dxa"/>
            <w:vAlign w:val="center"/>
          </w:tcPr>
          <w:p w14:paraId="512E57B2" w14:textId="7857156B" w:rsidR="00B8583C" w:rsidRPr="00C71A59" w:rsidRDefault="00B8583C" w:rsidP="00461A4F">
            <w:pPr>
              <w:spacing w:before="120" w:line="240" w:lineRule="auto"/>
              <w:rPr>
                <w:rFonts w:asciiTheme="majorHAnsi" w:hAnsiTheme="majorHAnsi"/>
                <w:sz w:val="18"/>
                <w:szCs w:val="18"/>
              </w:rPr>
            </w:pPr>
            <w:r w:rsidRPr="00C71A59">
              <w:rPr>
                <w:rFonts w:asciiTheme="majorHAnsi" w:hAnsiTheme="majorHAnsi"/>
                <w:sz w:val="18"/>
                <w:szCs w:val="18"/>
              </w:rPr>
              <w:t>Total value of investment in tourism infrastructure projects valued over $20 million (as at end June)</w:t>
            </w:r>
          </w:p>
        </w:tc>
        <w:tc>
          <w:tcPr>
            <w:tcW w:w="1560" w:type="dxa"/>
            <w:vAlign w:val="center"/>
          </w:tcPr>
          <w:p w14:paraId="79E729AB" w14:textId="3FDDAF05"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$63.4 billion</w:t>
            </w:r>
          </w:p>
        </w:tc>
        <w:tc>
          <w:tcPr>
            <w:tcW w:w="2166" w:type="dxa"/>
            <w:vAlign w:val="center"/>
          </w:tcPr>
          <w:p w14:paraId="34367571" w14:textId="3690241D" w:rsidR="00B8583C" w:rsidRPr="00C71A59" w:rsidRDefault="00B8583C" w:rsidP="00DC7C69">
            <w:pPr>
              <w:spacing w:line="240" w:lineRule="auto"/>
              <w:jc w:val="center"/>
              <w:rPr>
                <w:rFonts w:asciiTheme="majorHAnsi" w:hAnsiTheme="majorHAnsi"/>
                <w:sz w:val="18"/>
                <w:szCs w:val="18"/>
              </w:rPr>
            </w:pPr>
            <w:r w:rsidRPr="00C71A59">
              <w:rPr>
                <w:rFonts w:asciiTheme="majorHAnsi" w:hAnsiTheme="majorHAnsi"/>
                <w:sz w:val="18"/>
                <w:szCs w:val="18"/>
              </w:rPr>
              <w:t>+13.1%</w:t>
            </w:r>
          </w:p>
        </w:tc>
      </w:tr>
    </w:tbl>
    <w:p w14:paraId="38B55AE2" w14:textId="77777777" w:rsidR="00C71A59" w:rsidRDefault="00C71A59">
      <w:pPr>
        <w:spacing w:before="0" w:after="160" w:line="259" w:lineRule="auto"/>
      </w:pPr>
    </w:p>
    <w:p w14:paraId="721451A1" w14:textId="77777777" w:rsidR="00DD2FDA" w:rsidRDefault="00DD2FDA">
      <w:pPr>
        <w:spacing w:before="0" w:after="160" w:line="259" w:lineRule="auto"/>
      </w:pPr>
      <w:r>
        <w:br w:type="page"/>
      </w:r>
    </w:p>
    <w:p w14:paraId="2D628C07" w14:textId="77777777" w:rsidR="00DD2FDA" w:rsidRDefault="00DD2FDA" w:rsidP="00E43970">
      <w:pPr>
        <w:pStyle w:val="Heading3"/>
      </w:pPr>
      <w:bookmarkStart w:id="21" w:name="_Toc200703622"/>
      <w:r>
        <w:lastRenderedPageBreak/>
        <w:t>Accommodation in Australia</w:t>
      </w:r>
      <w:bookmarkEnd w:id="21"/>
    </w:p>
    <w:p w14:paraId="4DEC8D68" w14:textId="17CC7D61" w:rsidR="00C30C17" w:rsidRPr="00C30C17" w:rsidRDefault="00C30C17" w:rsidP="00E43970">
      <w:r w:rsidRPr="00C30C17">
        <w:t>Commercial accommodation capacity increased to a record high 335,000 rooms in 2024, according to STR data.</w:t>
      </w:r>
      <w:r w:rsidR="00EB6458">
        <w:t xml:space="preserve"> </w:t>
      </w:r>
      <w:r w:rsidRPr="00C30C17">
        <w:t>The increase of 2,575 rooms from December 2023 to December 2024 represented a 0.7% increase</w:t>
      </w:r>
      <w:r w:rsidR="00EB6458">
        <w:t xml:space="preserve"> (Figure 15)</w:t>
      </w:r>
      <w:r w:rsidRPr="00C30C17">
        <w:t>.</w:t>
      </w:r>
    </w:p>
    <w:p w14:paraId="35954D1A" w14:textId="0F91EF63" w:rsidR="00C30C17" w:rsidRPr="00C30C17" w:rsidRDefault="00C30C17" w:rsidP="00E43970">
      <w:r w:rsidRPr="00C30C17">
        <w:t>South Australia saw the highest percentage increase over the year at 2.4%, followed by Tasmania (2%), Victoria (1.7%), and the Australian Capital Territory (1.5%).</w:t>
      </w:r>
      <w:r w:rsidR="00EB6458">
        <w:t xml:space="preserve"> </w:t>
      </w:r>
      <w:r w:rsidRPr="00C30C17">
        <w:t xml:space="preserve">The Northern Territory and Western Australia were the only jurisdictions to see a reduction in rooms from December 2023 to December 2024.  </w:t>
      </w:r>
    </w:p>
    <w:p w14:paraId="15879454" w14:textId="6F5132C6" w:rsidR="004B6452" w:rsidRDefault="003B1622" w:rsidP="006F29EF">
      <w:pPr>
        <w:pStyle w:val="ListBullet"/>
        <w:keepNext/>
        <w:numPr>
          <w:ilvl w:val="0"/>
          <w:numId w:val="0"/>
        </w:numPr>
        <w:spacing w:line="300" w:lineRule="atLeast"/>
        <w:rPr>
          <w:rFonts w:ascii="Verdana" w:eastAsiaTheme="minorHAnsi" w:hAnsi="Verdana"/>
          <w:color w:val="300050" w:themeColor="text2"/>
          <w:lang w:eastAsia="en-US"/>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15</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6F29EF" w:rsidRPr="006F29EF">
        <w:rPr>
          <w:rFonts w:ascii="Verdana" w:eastAsiaTheme="minorHAnsi" w:hAnsi="Verdana"/>
          <w:color w:val="300050" w:themeColor="text2"/>
          <w:lang w:eastAsia="en-US"/>
        </w:rPr>
        <w:t>Number of rooms available</w:t>
      </w:r>
      <w:r w:rsidR="006F29EF">
        <w:rPr>
          <w:rFonts w:ascii="Verdana" w:eastAsiaTheme="minorHAnsi" w:hAnsi="Verdana"/>
          <w:color w:val="300050" w:themeColor="text2"/>
          <w:lang w:eastAsia="en-US"/>
        </w:rPr>
        <w:t xml:space="preserve"> i</w:t>
      </w:r>
      <w:r w:rsidR="006F29EF" w:rsidRPr="006F29EF">
        <w:rPr>
          <w:rFonts w:ascii="Verdana" w:eastAsiaTheme="minorHAnsi" w:hAnsi="Verdana"/>
          <w:color w:val="300050" w:themeColor="text2"/>
          <w:lang w:eastAsia="en-US"/>
        </w:rPr>
        <w:t xml:space="preserve">n establishments with 10 rooms or more as of December 2022 to 2024 </w:t>
      </w:r>
    </w:p>
    <w:p w14:paraId="03033ED4" w14:textId="77777777" w:rsidR="00623A4B" w:rsidRDefault="006F29EF" w:rsidP="006F29EF">
      <w:pPr>
        <w:pStyle w:val="ListBullet"/>
        <w:keepNext/>
        <w:numPr>
          <w:ilvl w:val="0"/>
          <w:numId w:val="0"/>
        </w:numPr>
        <w:spacing w:line="300" w:lineRule="atLeast"/>
      </w:pPr>
      <w:r w:rsidRPr="006546DA">
        <w:rPr>
          <w:noProof/>
        </w:rPr>
        <w:drawing>
          <wp:inline distT="0" distB="0" distL="0" distR="0" wp14:anchorId="1185B92C" wp14:editId="7B728E00">
            <wp:extent cx="6329680" cy="3448050"/>
            <wp:effectExtent l="0" t="0" r="0" b="0"/>
            <wp:docPr id="855033464" name="Chart 1" descr="Stacked column chart showing the number of rooms available as at December 2022, 2023, and 2024 by state. This shows the proportion of the rooms available by state.&#10;&#10;">
              <a:extLst xmlns:a="http://schemas.openxmlformats.org/drawingml/2006/main">
                <a:ext uri="{FF2B5EF4-FFF2-40B4-BE49-F238E27FC236}">
                  <a16:creationId xmlns:a16="http://schemas.microsoft.com/office/drawing/2014/main" id="{0CC3735A-6407-3B9D-02DC-B1D41959B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6B2A05" w14:textId="77777777" w:rsidR="00FD2964" w:rsidRDefault="00623A4B" w:rsidP="00056038">
      <w:pPr>
        <w:pStyle w:val="ListBullet"/>
        <w:numPr>
          <w:ilvl w:val="0"/>
          <w:numId w:val="0"/>
        </w:numPr>
        <w:spacing w:line="300" w:lineRule="atLeast"/>
      </w:pPr>
      <w:r w:rsidRPr="00623A4B">
        <w:t xml:space="preserve">The </w:t>
      </w:r>
      <w:r w:rsidRPr="00056038">
        <w:t>average occupancy rate for commercial accommodation continued to trend higher in Australia in 2024 and was 71% on average across the year. Solid occupancy rates at a national level – along with a higher revenue per available room (RevPAR) – are welcome signs of strong demand for accommodation. This also supports the continued investment in Australian accommodation supply.</w:t>
      </w:r>
      <w:r w:rsidR="00056038" w:rsidRPr="00056038">
        <w:t xml:space="preserve"> </w:t>
      </w:r>
    </w:p>
    <w:p w14:paraId="07670529" w14:textId="71FDCB3F" w:rsidR="00623A4B" w:rsidRPr="00056038" w:rsidRDefault="00623A4B" w:rsidP="00056038">
      <w:pPr>
        <w:pStyle w:val="ListBullet"/>
        <w:numPr>
          <w:ilvl w:val="0"/>
          <w:numId w:val="0"/>
        </w:numPr>
        <w:spacing w:line="300" w:lineRule="atLeast"/>
      </w:pPr>
      <w:r w:rsidRPr="00056038">
        <w:t>Occupancy rates notably vary throughout the year: the average occupancy rate across Australia is lower in Autumn and Winter months of April to June and peaks in November</w:t>
      </w:r>
      <w:r w:rsidR="00056038" w:rsidRPr="00056038">
        <w:t xml:space="preserve"> (Figure</w:t>
      </w:r>
      <w:r w:rsidR="00056038">
        <w:t> </w:t>
      </w:r>
      <w:r w:rsidR="00056038" w:rsidRPr="00056038">
        <w:t>16)</w:t>
      </w:r>
      <w:r w:rsidRPr="00056038">
        <w:t>.</w:t>
      </w:r>
    </w:p>
    <w:p w14:paraId="2E10787A" w14:textId="658E09F8" w:rsidR="00623A4B" w:rsidRDefault="00623A4B" w:rsidP="00623A4B">
      <w:pPr>
        <w:pStyle w:val="ListBullet"/>
        <w:keepNext/>
        <w:numPr>
          <w:ilvl w:val="0"/>
          <w:numId w:val="0"/>
        </w:numPr>
        <w:spacing w:line="300" w:lineRule="atLeast"/>
        <w:rPr>
          <w:rFonts w:ascii="Verdana" w:eastAsiaTheme="minorHAnsi" w:hAnsi="Verdana"/>
          <w:color w:val="300050" w:themeColor="text2"/>
          <w:lang w:eastAsia="en-US"/>
        </w:rPr>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16</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FE4EAC" w:rsidRPr="00FE4EAC">
        <w:rPr>
          <w:rFonts w:ascii="Verdana" w:eastAsiaTheme="minorHAnsi" w:hAnsi="Verdana"/>
          <w:color w:val="300050" w:themeColor="text2"/>
          <w:lang w:eastAsia="en-US"/>
        </w:rPr>
        <w:t>Monthly occupancy rate of Australian accommodation establishments, 2023 and 2024</w:t>
      </w:r>
    </w:p>
    <w:p w14:paraId="1685F806" w14:textId="757599F8" w:rsidR="00FE4EAC" w:rsidRDefault="00FE4EAC" w:rsidP="00E603B9">
      <w:pPr>
        <w:pStyle w:val="ListBullet"/>
        <w:keepNext/>
        <w:numPr>
          <w:ilvl w:val="0"/>
          <w:numId w:val="0"/>
        </w:numPr>
        <w:spacing w:line="300" w:lineRule="atLeast"/>
        <w:jc w:val="center"/>
        <w:rPr>
          <w:rFonts w:ascii="Verdana" w:eastAsiaTheme="minorHAnsi" w:hAnsi="Verdana"/>
          <w:color w:val="300050" w:themeColor="text2"/>
          <w:lang w:eastAsia="en-US"/>
        </w:rPr>
      </w:pPr>
      <w:r w:rsidRPr="00FE4EAC">
        <w:rPr>
          <w:rFonts w:ascii="Verdana" w:eastAsiaTheme="minorHAnsi" w:hAnsi="Verdana"/>
          <w:noProof/>
          <w:color w:val="300050" w:themeColor="text2"/>
          <w:lang w:eastAsia="en-US"/>
        </w:rPr>
        <w:drawing>
          <wp:inline distT="0" distB="0" distL="0" distR="0" wp14:anchorId="3BA0A30C" wp14:editId="54E8CB20">
            <wp:extent cx="6005830" cy="3181350"/>
            <wp:effectExtent l="0" t="0" r="0" b="0"/>
            <wp:docPr id="907426870" name="Chart 1" descr="Line graph outlining the monthly occupancy rates in accommodation data for 2023 and 2024.">
              <a:extLst xmlns:a="http://schemas.openxmlformats.org/drawingml/2006/main">
                <a:ext uri="{FF2B5EF4-FFF2-40B4-BE49-F238E27FC236}">
                  <a16:creationId xmlns:a16="http://schemas.microsoft.com/office/drawing/2014/main" id="{CC455A3E-9B96-262A-5C6A-3A3A4E995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4402E9" w14:textId="6C658887" w:rsidR="0062153C" w:rsidRPr="0062153C" w:rsidRDefault="0062153C" w:rsidP="00056038">
      <w:r w:rsidRPr="0062153C">
        <w:t>The average daily rate (ADR) charged for a room continue</w:t>
      </w:r>
      <w:r w:rsidR="00FD2964">
        <w:t>d</w:t>
      </w:r>
      <w:r w:rsidRPr="0062153C">
        <w:t xml:space="preserve"> to climb incrementally year-on-year, with an average 1.3% rise in 2024</w:t>
      </w:r>
      <w:r w:rsidR="00056038">
        <w:t xml:space="preserve"> (Figure 17)</w:t>
      </w:r>
      <w:r w:rsidRPr="0062153C">
        <w:t xml:space="preserve">. ADR trends follow tourist seasons with summer months being much higher than winter months nationally. In summer 2024 ADR was $251, compared with $226 in winter 2024 (i.e. ADR was 11% higher in the summer months). </w:t>
      </w:r>
    </w:p>
    <w:p w14:paraId="3F058C4E" w14:textId="7F2DAEE6" w:rsidR="0062153C" w:rsidRDefault="0062153C" w:rsidP="00056038">
      <w:r w:rsidRPr="0062153C">
        <w:t xml:space="preserve">Revenue per available room (RevPAR) is also higher in summer than in winter. RevPAR increased to $172 in 2024, a 3.7% on-average increase on the previous year. RevPAR gives a better </w:t>
      </w:r>
      <w:r w:rsidR="00352B5B">
        <w:t>i</w:t>
      </w:r>
      <w:r w:rsidRPr="0062153C">
        <w:t>ndicator of accommodation providers’ earnings than the room rate, because it adjusts for the occupancy rate.</w:t>
      </w:r>
    </w:p>
    <w:p w14:paraId="64318C00" w14:textId="4B0664AF" w:rsidR="0062153C" w:rsidRDefault="0062153C" w:rsidP="0062153C">
      <w:pPr>
        <w:pStyle w:val="ListBullet"/>
        <w:keepNext/>
        <w:numPr>
          <w:ilvl w:val="0"/>
          <w:numId w:val="0"/>
        </w:numPr>
        <w:spacing w:line="300" w:lineRule="atLeast"/>
        <w:rPr>
          <w:rFonts w:ascii="Verdana" w:eastAsiaTheme="minorHAnsi" w:hAnsi="Verdana"/>
          <w:color w:val="300050" w:themeColor="text2"/>
          <w:lang w:eastAsia="en-US"/>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17</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Pr="00FE4EAC">
        <w:rPr>
          <w:rFonts w:ascii="Verdana" w:eastAsiaTheme="minorHAnsi" w:hAnsi="Verdana"/>
          <w:color w:val="300050" w:themeColor="text2"/>
          <w:lang w:eastAsia="en-US"/>
        </w:rPr>
        <w:t>Monthly occupancy rate of Australian accommodation establishments, 2023 and 2024</w:t>
      </w:r>
    </w:p>
    <w:p w14:paraId="037182BB" w14:textId="2C8355EE" w:rsidR="0062153C" w:rsidRDefault="0062153C" w:rsidP="00E603B9">
      <w:pPr>
        <w:pStyle w:val="ListBullet"/>
        <w:keepNext/>
        <w:numPr>
          <w:ilvl w:val="0"/>
          <w:numId w:val="0"/>
        </w:numPr>
        <w:spacing w:line="300" w:lineRule="atLeast"/>
        <w:jc w:val="center"/>
        <w:rPr>
          <w:rFonts w:ascii="Verdana" w:eastAsiaTheme="minorHAnsi" w:hAnsi="Verdana"/>
          <w:color w:val="300050" w:themeColor="text2"/>
          <w:lang w:eastAsia="en-US"/>
        </w:rPr>
      </w:pPr>
      <w:r w:rsidRPr="0062153C">
        <w:rPr>
          <w:rFonts w:ascii="Verdana" w:eastAsiaTheme="minorHAnsi" w:hAnsi="Verdana"/>
          <w:noProof/>
          <w:color w:val="300050" w:themeColor="text2"/>
          <w:lang w:eastAsia="en-US"/>
        </w:rPr>
        <w:drawing>
          <wp:inline distT="0" distB="0" distL="0" distR="0" wp14:anchorId="45844C6C" wp14:editId="54264808">
            <wp:extent cx="5200650" cy="3067050"/>
            <wp:effectExtent l="0" t="0" r="0" b="0"/>
            <wp:docPr id="1383775488" name="Chart 1" descr="Line chart showing the Average daily rate and revenue per available room from 2019 to 2024. ">
              <a:extLst xmlns:a="http://schemas.openxmlformats.org/drawingml/2006/main">
                <a:ext uri="{FF2B5EF4-FFF2-40B4-BE49-F238E27FC236}">
                  <a16:creationId xmlns:a16="http://schemas.microsoft.com/office/drawing/2014/main" id="{035F92DF-B1AF-453D-8597-E1948B161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661260" w14:textId="6BB29CB9" w:rsidR="00642E71" w:rsidRPr="00642E71" w:rsidRDefault="00642E71" w:rsidP="00EC2F92">
      <w:r w:rsidRPr="00642E71">
        <w:t xml:space="preserve">Domestic overnight travellers generated </w:t>
      </w:r>
      <w:r w:rsidR="007742C8">
        <w:t>more</w:t>
      </w:r>
      <w:r w:rsidRPr="00642E71">
        <w:t xml:space="preserve"> demand for hotel and resort nights</w:t>
      </w:r>
      <w:r w:rsidR="007742C8">
        <w:t xml:space="preserve"> than international travellers</w:t>
      </w:r>
      <w:r w:rsidRPr="00642E71">
        <w:t xml:space="preserve">, accounting for 52% of nights in 2024. Domestic overnight travellers were </w:t>
      </w:r>
      <w:r w:rsidRPr="00642E71">
        <w:lastRenderedPageBreak/>
        <w:t xml:space="preserve">slightly more likely to stay at a caravan park or camping ground (23%) than rent a house (21%) in 2024 of traveller nights booked </w:t>
      </w:r>
      <w:r w:rsidR="007547EE">
        <w:t>(Figure 18)</w:t>
      </w:r>
      <w:r w:rsidRPr="00642E71">
        <w:t xml:space="preserve">. </w:t>
      </w:r>
    </w:p>
    <w:p w14:paraId="07DBA167" w14:textId="230B1ED4" w:rsidR="00642E71" w:rsidRDefault="00642E71" w:rsidP="00EC2F92">
      <w:r w:rsidRPr="00642E71">
        <w:t xml:space="preserve">International visitors </w:t>
      </w:r>
      <w:r w:rsidR="007547EE">
        <w:t>were</w:t>
      </w:r>
      <w:r w:rsidRPr="00642E71">
        <w:t xml:space="preserve"> slightly more likely to rent a house or apartment than stay at a hotel, especially </w:t>
      </w:r>
      <w:r w:rsidR="007547EE">
        <w:t>when</w:t>
      </w:r>
      <w:r w:rsidRPr="00642E71">
        <w:t xml:space="preserve"> staying in Australia for </w:t>
      </w:r>
      <w:r w:rsidR="00167D3A">
        <w:t>a long</w:t>
      </w:r>
      <w:r w:rsidRPr="00642E71">
        <w:t xml:space="preserve"> time. Only 37% of international visitor nights </w:t>
      </w:r>
      <w:r w:rsidR="00CD304E">
        <w:t>were</w:t>
      </w:r>
      <w:r w:rsidRPr="00642E71">
        <w:t xml:space="preserve"> in hotels, resorts and motels</w:t>
      </w:r>
      <w:r w:rsidR="00CD304E">
        <w:t xml:space="preserve"> in 2024</w:t>
      </w:r>
      <w:r w:rsidRPr="00642E71">
        <w:t xml:space="preserve">. </w:t>
      </w:r>
    </w:p>
    <w:p w14:paraId="36FC42E3" w14:textId="3F0482F2" w:rsidR="006B728B" w:rsidRPr="006B728B" w:rsidRDefault="00642E71" w:rsidP="00E300BB">
      <w:pPr>
        <w:pStyle w:val="ListBullet"/>
        <w:keepNext/>
        <w:numPr>
          <w:ilvl w:val="0"/>
          <w:numId w:val="0"/>
        </w:numPr>
        <w:spacing w:line="360" w:lineRule="auto"/>
        <w:rPr>
          <w:color w:val="300050" w:themeColor="text2"/>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18</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6B728B" w:rsidRPr="006B728B">
        <w:rPr>
          <w:color w:val="300050" w:themeColor="text2"/>
        </w:rPr>
        <w:t>Commercial accommodation used by international and domestic overnight nights in 2024</w:t>
      </w:r>
      <w:r w:rsidR="00E300BB">
        <w:rPr>
          <w:color w:val="300050" w:themeColor="text2"/>
        </w:rPr>
        <w:t xml:space="preserve">. </w:t>
      </w:r>
    </w:p>
    <w:p w14:paraId="25BF7114" w14:textId="20569B1C" w:rsidR="00615FA4" w:rsidRPr="00CA3726" w:rsidRDefault="006B728B" w:rsidP="00CA3726">
      <w:pPr>
        <w:pStyle w:val="ListBullet"/>
        <w:keepNext/>
        <w:numPr>
          <w:ilvl w:val="0"/>
          <w:numId w:val="0"/>
        </w:numPr>
        <w:spacing w:line="300" w:lineRule="atLeast"/>
        <w:jc w:val="center"/>
        <w:rPr>
          <w:rFonts w:ascii="Verdana" w:eastAsiaTheme="minorHAnsi" w:hAnsi="Verdana"/>
          <w:color w:val="300050" w:themeColor="text2"/>
          <w:lang w:eastAsia="en-US"/>
        </w:rPr>
      </w:pPr>
      <w:r w:rsidRPr="006B728B">
        <w:rPr>
          <w:rFonts w:ascii="Verdana" w:eastAsiaTheme="minorHAnsi" w:hAnsi="Verdana"/>
          <w:noProof/>
          <w:color w:val="300050" w:themeColor="text2"/>
          <w:lang w:eastAsia="en-US"/>
        </w:rPr>
        <w:drawing>
          <wp:inline distT="0" distB="0" distL="0" distR="0" wp14:anchorId="7D76FC9C" wp14:editId="083773B4">
            <wp:extent cx="5514975" cy="3457575"/>
            <wp:effectExtent l="0" t="0" r="0" b="0"/>
            <wp:docPr id="940191952" name="Chart 1" descr="Stacked column chart of commercial accommodation used by international and domestic overnight nights in 2024">
              <a:extLst xmlns:a="http://schemas.openxmlformats.org/drawingml/2006/main">
                <a:ext uri="{FF2B5EF4-FFF2-40B4-BE49-F238E27FC236}">
                  <a16:creationId xmlns:a16="http://schemas.microsoft.com/office/drawing/2014/main" id="{CFB63BE3-FB22-7A01-2F5C-7156F06C3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356240" w14:textId="48AAD1CC" w:rsidR="00783D0C" w:rsidRDefault="00783D0C" w:rsidP="003C7D90">
      <w:pPr>
        <w:pStyle w:val="Heading3"/>
      </w:pPr>
      <w:bookmarkStart w:id="22" w:name="_Toc200703623"/>
      <w:r>
        <w:t>Aviation and connectivity</w:t>
      </w:r>
      <w:bookmarkEnd w:id="22"/>
      <w:r>
        <w:t xml:space="preserve"> </w:t>
      </w:r>
    </w:p>
    <w:p w14:paraId="6757C7EC" w14:textId="33871190" w:rsidR="00783D0C" w:rsidRPr="00783D0C" w:rsidRDefault="00783D0C" w:rsidP="00783D0C">
      <w:pPr>
        <w:rPr>
          <w:lang w:eastAsia="zh-CN"/>
        </w:rPr>
      </w:pPr>
      <w:r w:rsidRPr="00783D0C">
        <w:rPr>
          <w:lang w:eastAsia="zh-CN"/>
        </w:rPr>
        <w:t>In 2024, two of Australia’s domestic airlines faced major difficulties. REX entered voluntary administration, exiting intercity routes, and Bonza collapsed in July 2024. These airline changes may have led to increased volatility in the ‘best discount’ air fares throughout 2023 and 2024. The domestic air fares index for economy class fares also declined sharply in the second half of 2024</w:t>
      </w:r>
      <w:r w:rsidR="003C7D90">
        <w:rPr>
          <w:lang w:eastAsia="zh-CN"/>
        </w:rPr>
        <w:t xml:space="preserve"> (Figure 19)</w:t>
      </w:r>
      <w:r w:rsidRPr="00783D0C">
        <w:rPr>
          <w:lang w:eastAsia="zh-CN"/>
        </w:rPr>
        <w:t xml:space="preserve">. </w:t>
      </w:r>
    </w:p>
    <w:p w14:paraId="043BBFDA" w14:textId="58F3104D" w:rsidR="00783D0C" w:rsidRDefault="00783D0C" w:rsidP="00783D0C">
      <w:pPr>
        <w:rPr>
          <w:lang w:eastAsia="zh-CN"/>
        </w:rPr>
      </w:pPr>
      <w:r w:rsidRPr="00783D0C">
        <w:rPr>
          <w:lang w:eastAsia="zh-CN"/>
        </w:rPr>
        <w:t>Meanwhile, the business air fares index ended the year approximately the same as the start of the year, after a rise around the end of financial year period. In early 2025, the domestic economy air fares index fell to its lowest level since 2013.</w:t>
      </w:r>
    </w:p>
    <w:p w14:paraId="297D4359" w14:textId="294C13FC" w:rsidR="00A84506" w:rsidRDefault="00783D0C" w:rsidP="00A84506">
      <w:pPr>
        <w:pStyle w:val="ListBullet"/>
        <w:keepNext/>
        <w:numPr>
          <w:ilvl w:val="0"/>
          <w:numId w:val="0"/>
        </w:numPr>
        <w:spacing w:line="360" w:lineRule="auto"/>
        <w:rPr>
          <w:color w:val="300050" w:themeColor="text2"/>
        </w:rPr>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19</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A84506" w:rsidRPr="00A84506">
        <w:rPr>
          <w:color w:val="300050" w:themeColor="text2"/>
        </w:rPr>
        <w:t>Domestic airfares by category, smoothed index level relative to July 2019, January 2018 to March 2025</w:t>
      </w:r>
      <w:r w:rsidR="00A84506">
        <w:rPr>
          <w:color w:val="300050" w:themeColor="text2"/>
        </w:rPr>
        <w:t>.</w:t>
      </w:r>
    </w:p>
    <w:p w14:paraId="3E47986C" w14:textId="60576B51" w:rsidR="00A84506" w:rsidRPr="00A84506" w:rsidRDefault="001C6B41" w:rsidP="00A84506">
      <w:pPr>
        <w:pStyle w:val="ListBullet"/>
        <w:keepNext/>
        <w:numPr>
          <w:ilvl w:val="0"/>
          <w:numId w:val="0"/>
        </w:numPr>
        <w:spacing w:line="360" w:lineRule="auto"/>
        <w:rPr>
          <w:color w:val="300050" w:themeColor="text2"/>
        </w:rPr>
      </w:pPr>
      <w:r w:rsidRPr="001C6B41">
        <w:rPr>
          <w:noProof/>
          <w:color w:val="300050" w:themeColor="text2"/>
        </w:rPr>
        <w:drawing>
          <wp:inline distT="0" distB="0" distL="0" distR="0" wp14:anchorId="14BCF9A4" wp14:editId="1471F574">
            <wp:extent cx="6329680" cy="3419475"/>
            <wp:effectExtent l="0" t="0" r="0" b="0"/>
            <wp:docPr id="1660291377" name="Chart 1" descr="A line chart from 2018 to 2025 outlining domestic airfares index by category. Business, economy, and best discount categories are plotted. &#10;In 2024 Business index went up until Oct and then fell, so too did Economy, whereas best discount went down in the first half and rose from Aug. ">
              <a:extLst xmlns:a="http://schemas.openxmlformats.org/drawingml/2006/main">
                <a:ext uri="{FF2B5EF4-FFF2-40B4-BE49-F238E27FC236}">
                  <a16:creationId xmlns:a16="http://schemas.microsoft.com/office/drawing/2014/main" id="{EAB02D1A-B94B-91FB-6B51-F67BDD807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076514" w14:textId="0CB01517" w:rsidR="00BD11E6" w:rsidRPr="00BD11E6" w:rsidRDefault="00BD11E6" w:rsidP="00BD11E6">
      <w:pPr>
        <w:rPr>
          <w:lang w:eastAsia="zh-CN"/>
        </w:rPr>
      </w:pPr>
      <w:r w:rsidRPr="00BD11E6">
        <w:rPr>
          <w:lang w:eastAsia="zh-CN"/>
        </w:rPr>
        <w:t xml:space="preserve">In line with increased demand, aviation capacity for both domestic and international travel increased further in 2024. </w:t>
      </w:r>
      <w:r w:rsidR="0013650D">
        <w:rPr>
          <w:lang w:eastAsia="zh-CN"/>
        </w:rPr>
        <w:t>The number of d</w:t>
      </w:r>
      <w:r w:rsidRPr="00BD11E6">
        <w:rPr>
          <w:lang w:eastAsia="zh-CN"/>
        </w:rPr>
        <w:t>omestic seats available rose by 2% to 74.3 million. In 2024</w:t>
      </w:r>
      <w:r w:rsidR="00702E50">
        <w:rPr>
          <w:lang w:eastAsia="zh-CN"/>
        </w:rPr>
        <w:t xml:space="preserve">, the domestic </w:t>
      </w:r>
      <w:r w:rsidRPr="00BD11E6">
        <w:rPr>
          <w:lang w:eastAsia="zh-CN"/>
        </w:rPr>
        <w:t xml:space="preserve">load factor (a measure of airline seat occupancy by passengers) </w:t>
      </w:r>
      <w:r w:rsidR="00702E50">
        <w:rPr>
          <w:lang w:eastAsia="zh-CN"/>
        </w:rPr>
        <w:t>was</w:t>
      </w:r>
      <w:r w:rsidRPr="00BD11E6">
        <w:rPr>
          <w:lang w:eastAsia="zh-CN"/>
        </w:rPr>
        <w:t xml:space="preserve"> 82%, an increase of 2% on 2023. Domestic aviation </w:t>
      </w:r>
      <w:r w:rsidR="00671B0D">
        <w:rPr>
          <w:lang w:eastAsia="zh-CN"/>
        </w:rPr>
        <w:t xml:space="preserve">capacity in 2024 was likely affected </w:t>
      </w:r>
      <w:r w:rsidR="00666D5A">
        <w:rPr>
          <w:lang w:eastAsia="zh-CN"/>
        </w:rPr>
        <w:t>by</w:t>
      </w:r>
      <w:r w:rsidRPr="00BD11E6">
        <w:rPr>
          <w:lang w:eastAsia="zh-CN"/>
        </w:rPr>
        <w:t xml:space="preserve"> the collapse of budget airline Bonza and the scaling back of routes by regional carrier Rex.</w:t>
      </w:r>
    </w:p>
    <w:p w14:paraId="69408775" w14:textId="77777777" w:rsidR="00C563E4" w:rsidRPr="008D2690" w:rsidRDefault="00C563E4" w:rsidP="00C563E4">
      <w:pPr>
        <w:rPr>
          <w:lang w:eastAsia="zh-CN"/>
        </w:rPr>
      </w:pPr>
      <w:r w:rsidRPr="008D2690">
        <w:rPr>
          <w:lang w:eastAsia="zh-CN"/>
        </w:rPr>
        <w:t>Fun fact:</w:t>
      </w:r>
      <w:r>
        <w:rPr>
          <w:lang w:eastAsia="zh-CN"/>
        </w:rPr>
        <w:t xml:space="preserve"> </w:t>
      </w:r>
      <w:r w:rsidRPr="008D2690">
        <w:rPr>
          <w:lang w:eastAsia="zh-CN"/>
        </w:rPr>
        <w:t xml:space="preserve">In 2024, 7 of the top 20 growth routes for domestic air travel in 2024 were connecting to Western Australia’s capital city, Perth. </w:t>
      </w:r>
    </w:p>
    <w:p w14:paraId="7FBD9797" w14:textId="7F3D0EED" w:rsidR="00BD11E6" w:rsidRDefault="00BD11E6" w:rsidP="00BD11E6">
      <w:pPr>
        <w:rPr>
          <w:lang w:eastAsia="zh-CN"/>
        </w:rPr>
      </w:pPr>
      <w:r w:rsidRPr="00BD11E6">
        <w:rPr>
          <w:lang w:eastAsia="zh-CN"/>
        </w:rPr>
        <w:t>International aviation capacity into Australia increased by 15% in 2024, bringing 25.9 million international seats online in 2024</w:t>
      </w:r>
      <w:r w:rsidR="00C03BFB">
        <w:rPr>
          <w:lang w:eastAsia="zh-CN"/>
        </w:rPr>
        <w:t xml:space="preserve"> (Figure 20)</w:t>
      </w:r>
      <w:r w:rsidRPr="00BD11E6">
        <w:rPr>
          <w:lang w:eastAsia="zh-CN"/>
        </w:rPr>
        <w:t xml:space="preserve">. The international aviation load factor remained high in 2024 at 82% but declined slightly from the record high of 2023. </w:t>
      </w:r>
    </w:p>
    <w:p w14:paraId="3DBAF0FF" w14:textId="77777777" w:rsidR="008D2690" w:rsidRPr="00BD11E6" w:rsidRDefault="008D2690" w:rsidP="00BD11E6">
      <w:pPr>
        <w:rPr>
          <w:lang w:eastAsia="zh-CN"/>
        </w:rPr>
      </w:pPr>
    </w:p>
    <w:p w14:paraId="45421D04" w14:textId="7FED001D" w:rsidR="00932B14" w:rsidRPr="007A158D" w:rsidRDefault="00BD11E6" w:rsidP="007A158D">
      <w:pPr>
        <w:pStyle w:val="ListBullet"/>
        <w:keepNext/>
        <w:numPr>
          <w:ilvl w:val="0"/>
          <w:numId w:val="0"/>
        </w:numPr>
        <w:spacing w:line="360" w:lineRule="auto"/>
        <w:rPr>
          <w:color w:val="300050" w:themeColor="text2"/>
        </w:rPr>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Pr>
          <w:rFonts w:ascii="Verdana" w:eastAsiaTheme="minorHAnsi" w:hAnsi="Verdana"/>
          <w:b/>
          <w:bCs/>
          <w:noProof/>
          <w:color w:val="300050" w:themeColor="text2"/>
          <w:lang w:eastAsia="en-US"/>
        </w:rPr>
        <w:t>20</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932B14" w:rsidRPr="00932B14">
        <w:rPr>
          <w:color w:val="300050" w:themeColor="text2"/>
        </w:rPr>
        <w:t>Domestic and international flight seat capacity in 2023 and 2024</w:t>
      </w:r>
      <w:r w:rsidR="00932B14">
        <w:rPr>
          <w:color w:val="300050" w:themeColor="text2"/>
        </w:rPr>
        <w:t>.</w:t>
      </w:r>
    </w:p>
    <w:p w14:paraId="7F12B31D" w14:textId="77777777" w:rsidR="008D2690" w:rsidRDefault="00932B14" w:rsidP="00623A4B">
      <w:pPr>
        <w:pStyle w:val="ListBullet"/>
        <w:keepNext/>
        <w:numPr>
          <w:ilvl w:val="0"/>
          <w:numId w:val="0"/>
        </w:numPr>
        <w:spacing w:line="300" w:lineRule="atLeast"/>
      </w:pPr>
      <w:r w:rsidRPr="00932B14">
        <w:rPr>
          <w:noProof/>
        </w:rPr>
        <w:drawing>
          <wp:inline distT="0" distB="0" distL="0" distR="0" wp14:anchorId="749C7CD3" wp14:editId="5BA19D00">
            <wp:extent cx="6329680" cy="2619375"/>
            <wp:effectExtent l="0" t="0" r="0" b="0"/>
            <wp:docPr id="64853125" name="Chart 1" descr="Shows domestic and international flight seat capacity in annual bars for 2019 to 2024 as well as the annual average domestic and international flight load factors. Load factors have returned to their pre-pandemic highs but the number of available seats was still lower in 2024 than it was in 2019 for both domestic and international. &#10;">
              <a:extLst xmlns:a="http://schemas.openxmlformats.org/drawingml/2006/main">
                <a:ext uri="{FF2B5EF4-FFF2-40B4-BE49-F238E27FC236}">
                  <a16:creationId xmlns:a16="http://schemas.microsoft.com/office/drawing/2014/main" id="{CB72B044-E105-9A15-8BE1-B55CAF1D9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3FA47E" w14:textId="35A06E8B" w:rsidR="00493ABD" w:rsidRPr="00493ABD" w:rsidRDefault="00493ABD" w:rsidP="00CA3726">
      <w:r w:rsidRPr="00493ABD">
        <w:t>The number of international inbound flights to Australia increased by 13% from 89,800 in 2023 to 101,700 in 2024. These increases saw the number of international flights reach new highs in 2025</w:t>
      </w:r>
      <w:r w:rsidR="009A5C12">
        <w:t xml:space="preserve"> (Figure 21)</w:t>
      </w:r>
      <w:r w:rsidRPr="00493ABD">
        <w:t xml:space="preserve">. </w:t>
      </w:r>
    </w:p>
    <w:p w14:paraId="2341F415" w14:textId="1F0F72FA" w:rsidR="008D2690" w:rsidRDefault="00493ABD" w:rsidP="00F90E5D">
      <w:r w:rsidRPr="00493ABD">
        <w:t>Changing international air traffic also gives an indication of the recovering market, with increases in global capacity (up 12.8% on 2023) and traffic (up 13.6% on 2023).</w:t>
      </w:r>
      <w:r w:rsidR="00F90E5D">
        <w:t xml:space="preserve"> </w:t>
      </w:r>
      <w:r w:rsidR="00F90E5D" w:rsidRPr="00F90E5D">
        <w:t>Southeast Asia had the highest number of</w:t>
      </w:r>
      <w:r w:rsidR="00F90E5D">
        <w:t xml:space="preserve"> </w:t>
      </w:r>
      <w:r w:rsidR="00F90E5D" w:rsidRPr="00F90E5D">
        <w:t>international inbound airline seats available</w:t>
      </w:r>
      <w:r w:rsidR="00F90E5D">
        <w:t xml:space="preserve"> </w:t>
      </w:r>
      <w:r w:rsidR="00F90E5D" w:rsidRPr="00F90E5D">
        <w:t>at 9.6 million in 2024, followed by North-East</w:t>
      </w:r>
      <w:r w:rsidR="00F90E5D">
        <w:t xml:space="preserve"> </w:t>
      </w:r>
      <w:r w:rsidR="00F90E5D" w:rsidRPr="00F90E5D">
        <w:t>Asia at 5.1 million, and New Zealand at</w:t>
      </w:r>
      <w:r w:rsidR="00F90E5D">
        <w:t xml:space="preserve"> </w:t>
      </w:r>
      <w:r w:rsidR="00F90E5D" w:rsidRPr="00F90E5D">
        <w:t>4.1 million.</w:t>
      </w:r>
    </w:p>
    <w:p w14:paraId="3FC91813" w14:textId="51384209" w:rsidR="006F7595" w:rsidRDefault="00493ABD" w:rsidP="00F365B5">
      <w:pPr>
        <w:pStyle w:val="ListBullet"/>
        <w:keepNext/>
        <w:numPr>
          <w:ilvl w:val="0"/>
          <w:numId w:val="0"/>
        </w:numPr>
        <w:spacing w:line="360" w:lineRule="auto"/>
        <w:rPr>
          <w:color w:val="300050" w:themeColor="text2"/>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F365B5">
        <w:rPr>
          <w:rFonts w:ascii="Verdana" w:eastAsiaTheme="minorHAnsi" w:hAnsi="Verdana"/>
          <w:b/>
          <w:bCs/>
          <w:noProof/>
          <w:color w:val="300050" w:themeColor="text2"/>
          <w:lang w:eastAsia="en-US"/>
        </w:rPr>
        <w:t>21</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F365B5" w:rsidRPr="00F365B5">
        <w:rPr>
          <w:color w:val="300050" w:themeColor="text2"/>
        </w:rPr>
        <w:t>International inbound airline seats (million) available by region for calendar year 2024</w:t>
      </w:r>
      <w:r w:rsidRPr="00493ABD">
        <w:rPr>
          <w:noProof/>
        </w:rPr>
        <w:drawing>
          <wp:inline distT="0" distB="0" distL="0" distR="0" wp14:anchorId="4CE1DA01" wp14:editId="009F6577">
            <wp:extent cx="6329680" cy="3105150"/>
            <wp:effectExtent l="0" t="0" r="0" b="0"/>
            <wp:docPr id="1654002879" name="Chart 1" descr="Shows a map of the world with lines radiating out of Australia to regions across the globe. The lines are varying thicknesses, in line with the amount of inbound aviation capacity available between Australia and that region. There is also a bar chart and values showing how the number of inbound seats from each region for 2024&#10;">
              <a:extLst xmlns:a="http://schemas.openxmlformats.org/drawingml/2006/main">
                <a:ext uri="{FF2B5EF4-FFF2-40B4-BE49-F238E27FC236}">
                  <a16:creationId xmlns:a16="http://schemas.microsoft.com/office/drawing/2014/main" id="{FDDFB422-055D-B61F-8409-7A826D955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018235" w14:textId="77777777" w:rsidR="00CA3726" w:rsidRDefault="00CA3726">
      <w:pPr>
        <w:spacing w:before="0" w:after="160" w:line="259" w:lineRule="auto"/>
        <w:rPr>
          <w:bCs/>
          <w:color w:val="300050" w:themeColor="text2"/>
          <w:sz w:val="28"/>
          <w:szCs w:val="32"/>
        </w:rPr>
      </w:pPr>
      <w:r>
        <w:br w:type="page"/>
      </w:r>
    </w:p>
    <w:p w14:paraId="0A927F5F" w14:textId="39C1EEF7" w:rsidR="006F7595" w:rsidRDefault="00F90E5D" w:rsidP="00ED3983">
      <w:pPr>
        <w:pStyle w:val="Heading3"/>
      </w:pPr>
      <w:bookmarkStart w:id="23" w:name="_Toc200703624"/>
      <w:r>
        <w:lastRenderedPageBreak/>
        <w:t>Businesses and jobs</w:t>
      </w:r>
      <w:bookmarkEnd w:id="23"/>
    </w:p>
    <w:p w14:paraId="3B34028F" w14:textId="484D3FCA" w:rsidR="00AA4FB5" w:rsidRPr="00AA4FB5" w:rsidRDefault="000E21E0" w:rsidP="00CA3726">
      <w:r w:rsidRPr="000E21E0">
        <w:t>Tourism businesses accounted for 1 in 7 Australian businesses in 2024</w:t>
      </w:r>
      <w:r>
        <w:t>.</w:t>
      </w:r>
      <w:r w:rsidR="00AA4FB5">
        <w:t xml:space="preserve"> </w:t>
      </w:r>
      <w:r w:rsidR="00AA4FB5" w:rsidRPr="00AA4FB5">
        <w:t xml:space="preserve">There were 360,202 tourism-related businesses in June 2024. This was </w:t>
      </w:r>
      <w:r w:rsidR="0023537A">
        <w:t>a record high</w:t>
      </w:r>
      <w:r w:rsidR="006256E8">
        <w:t xml:space="preserve"> (Figure 22)</w:t>
      </w:r>
      <w:r w:rsidR="00D54537">
        <w:t>. It was also</w:t>
      </w:r>
      <w:r w:rsidR="0023537A">
        <w:t xml:space="preserve"> </w:t>
      </w:r>
      <w:r w:rsidR="00AA4FB5" w:rsidRPr="00AA4FB5">
        <w:t>0.7% higher than in June 2023, and 11% higher than June 2019 (pre-pandemic).</w:t>
      </w:r>
    </w:p>
    <w:p w14:paraId="3571D969" w14:textId="6A9DA98F" w:rsidR="00204AEF" w:rsidRPr="00204AEF" w:rsidRDefault="004B6AC1" w:rsidP="00CA3726">
      <w:r>
        <w:t xml:space="preserve">By industry, </w:t>
      </w:r>
      <w:r w:rsidR="009624A8">
        <w:t xml:space="preserve">the 2 largest industries (together accounting for </w:t>
      </w:r>
      <w:r>
        <w:t>2 in 3 tourism-related businesses in 2024</w:t>
      </w:r>
      <w:r w:rsidR="009624A8">
        <w:t>)</w:t>
      </w:r>
      <w:r>
        <w:t xml:space="preserve"> were </w:t>
      </w:r>
      <w:r w:rsidR="009624A8">
        <w:t xml:space="preserve">retail trade and </w:t>
      </w:r>
      <w:r w:rsidR="009624A8" w:rsidRPr="00AA4FB5">
        <w:t>cafés, restaurants, and takeaway food services</w:t>
      </w:r>
      <w:r w:rsidR="009624A8">
        <w:t xml:space="preserve">. </w:t>
      </w:r>
      <w:r w:rsidR="003F5CCF">
        <w:t>R</w:t>
      </w:r>
      <w:r w:rsidR="00204AEF" w:rsidRPr="00204AEF">
        <w:t>etail trade (a tourism-connected industry) was the largest tourism-related industry</w:t>
      </w:r>
      <w:r w:rsidR="00997592" w:rsidRPr="00997592">
        <w:t>, with 153,000 businesses</w:t>
      </w:r>
      <w:r w:rsidR="003F5CCF">
        <w:t xml:space="preserve"> </w:t>
      </w:r>
      <w:r w:rsidR="00204AEF" w:rsidRPr="00204AEF">
        <w:t>(42% of total)</w:t>
      </w:r>
      <w:r w:rsidR="00997592">
        <w:t>,</w:t>
      </w:r>
      <w:r w:rsidR="003F5CCF">
        <w:t xml:space="preserve"> followed by </w:t>
      </w:r>
      <w:r w:rsidR="00204AEF" w:rsidRPr="00204AEF">
        <w:t xml:space="preserve">cafes, restaurants and takeaway food services </w:t>
      </w:r>
      <w:r w:rsidR="000D743C">
        <w:t>(a</w:t>
      </w:r>
      <w:r w:rsidR="00204AEF" w:rsidRPr="00204AEF">
        <w:t xml:space="preserve"> tourism-characteristic industry</w:t>
      </w:r>
      <w:r w:rsidR="000D743C">
        <w:t>)</w:t>
      </w:r>
      <w:r w:rsidR="00204AEF" w:rsidRPr="00204AEF">
        <w:t>, with 87,000 businesses (24% of total tourism-related businesses).</w:t>
      </w:r>
    </w:p>
    <w:p w14:paraId="5BA9CA23" w14:textId="440C8F60" w:rsidR="00543A0A" w:rsidRDefault="00AA4FB5" w:rsidP="006F7595">
      <w:pPr>
        <w:rPr>
          <w:color w:val="300050" w:themeColor="text2"/>
        </w:rPr>
      </w:pPr>
      <w:r w:rsidRPr="00AA4FB5">
        <w:rPr>
          <w:noProof/>
        </w:rPr>
        <w:drawing>
          <wp:anchor distT="0" distB="0" distL="114300" distR="114300" simplePos="0" relativeHeight="251658242" behindDoc="0" locked="0" layoutInCell="1" allowOverlap="1" wp14:anchorId="4E376C89" wp14:editId="45DEFB4F">
            <wp:simplePos x="0" y="0"/>
            <wp:positionH relativeFrom="margin">
              <wp:posOffset>-57150</wp:posOffset>
            </wp:positionH>
            <wp:positionV relativeFrom="paragraph">
              <wp:posOffset>475615</wp:posOffset>
            </wp:positionV>
            <wp:extent cx="6329680" cy="2971800"/>
            <wp:effectExtent l="0" t="0" r="0" b="0"/>
            <wp:wrapSquare wrapText="bothSides"/>
            <wp:docPr id="2123077781" name="Chart 1" descr="Stacked bar chart outlining the number of tourism characteristic and tourism connected industries from FY 18/19 to FY 23/24. Shows a steady increase of numbers YoY&#10;">
              <a:extLst xmlns:a="http://schemas.openxmlformats.org/drawingml/2006/main">
                <a:ext uri="{FF2B5EF4-FFF2-40B4-BE49-F238E27FC236}">
                  <a16:creationId xmlns:a16="http://schemas.microsoft.com/office/drawing/2014/main" id="{20DF98C4-158A-EDD2-7A2E-34E979208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Pr>
          <w:b/>
          <w:bCs/>
          <w:color w:val="300050" w:themeColor="text2"/>
        </w:rPr>
        <w:t xml:space="preserve">Figure </w:t>
      </w:r>
      <w:r>
        <w:rPr>
          <w:b/>
          <w:bCs/>
          <w:color w:val="300050" w:themeColor="text2"/>
        </w:rPr>
        <w:fldChar w:fldCharType="begin"/>
      </w:r>
      <w:r>
        <w:rPr>
          <w:b/>
          <w:bCs/>
          <w:color w:val="300050" w:themeColor="text2"/>
        </w:rPr>
        <w:instrText xml:space="preserve"> SEQ Figure \* ARABIC </w:instrText>
      </w:r>
      <w:r>
        <w:rPr>
          <w:b/>
          <w:bCs/>
          <w:color w:val="300050" w:themeColor="text2"/>
        </w:rPr>
        <w:fldChar w:fldCharType="separate"/>
      </w:r>
      <w:r>
        <w:rPr>
          <w:b/>
          <w:bCs/>
          <w:noProof/>
          <w:color w:val="300050" w:themeColor="text2"/>
        </w:rPr>
        <w:t>22</w:t>
      </w:r>
      <w:r>
        <w:rPr>
          <w:b/>
          <w:bCs/>
          <w:color w:val="300050" w:themeColor="text2"/>
        </w:rPr>
        <w:fldChar w:fldCharType="end"/>
      </w:r>
      <w:r>
        <w:rPr>
          <w:b/>
          <w:bCs/>
          <w:color w:val="300050" w:themeColor="text2"/>
        </w:rPr>
        <w:t>.</w:t>
      </w:r>
      <w:r>
        <w:rPr>
          <w:b/>
          <w:bCs/>
          <w:i/>
          <w:iCs/>
        </w:rPr>
        <w:t xml:space="preserve"> </w:t>
      </w:r>
      <w:r w:rsidRPr="00AA4FB5">
        <w:rPr>
          <w:color w:val="300050" w:themeColor="text2"/>
        </w:rPr>
        <w:t>Tourism businesses in Australia by tourism characteristic and tourism connected industries</w:t>
      </w:r>
      <w:r>
        <w:rPr>
          <w:color w:val="300050" w:themeColor="text2"/>
        </w:rPr>
        <w:t xml:space="preserve">. </w:t>
      </w:r>
    </w:p>
    <w:p w14:paraId="4A8252FC" w14:textId="7839D16C" w:rsidR="00AA4FB5" w:rsidRPr="007D2CF0" w:rsidRDefault="008E08E1" w:rsidP="00170A03">
      <w:pPr>
        <w:spacing w:before="120" w:after="480" w:line="240" w:lineRule="auto"/>
        <w:rPr>
          <w:sz w:val="16"/>
          <w:szCs w:val="16"/>
        </w:rPr>
      </w:pPr>
      <w:r w:rsidRPr="0096374C">
        <w:rPr>
          <w:b/>
          <w:bCs/>
          <w:sz w:val="16"/>
          <w:szCs w:val="16"/>
        </w:rPr>
        <w:t>Tourism characteristic industries</w:t>
      </w:r>
      <w:r w:rsidRPr="007D2CF0">
        <w:rPr>
          <w:sz w:val="16"/>
          <w:szCs w:val="16"/>
        </w:rPr>
        <w:t>: such as accommodation, denotes industries where visitors consume at least 25% of output. Businesses in these industries are reliant on tourism.</w:t>
      </w:r>
      <w:r w:rsidR="007D2CF0">
        <w:rPr>
          <w:sz w:val="16"/>
          <w:szCs w:val="16"/>
        </w:rPr>
        <w:t xml:space="preserve"> </w:t>
      </w:r>
      <w:r w:rsidRPr="0096374C">
        <w:rPr>
          <w:b/>
          <w:bCs/>
          <w:sz w:val="16"/>
          <w:szCs w:val="16"/>
        </w:rPr>
        <w:t>Tourism connected industries</w:t>
      </w:r>
      <w:r w:rsidRPr="007D2CF0">
        <w:rPr>
          <w:sz w:val="16"/>
          <w:szCs w:val="16"/>
        </w:rPr>
        <w:t>: such as automotive fuel retailing, denotes industries where products are consumed by visitors in volumes considered to be significant, however, they comprise less than 25% of consumed output.</w:t>
      </w:r>
    </w:p>
    <w:p w14:paraId="131E6907" w14:textId="0FB16500" w:rsidR="000719D7" w:rsidRPr="000719D7" w:rsidRDefault="000719D7" w:rsidP="007D2CF0">
      <w:r w:rsidRPr="000719D7">
        <w:t>While the number of tourism businesses trended higher, costs of doing business have also increased which has led to limited growth in profits for the sector.</w:t>
      </w:r>
      <w:r w:rsidR="00D1389F">
        <w:t xml:space="preserve"> </w:t>
      </w:r>
      <w:r w:rsidRPr="000719D7">
        <w:t>The cost of doing business in Australia continued to increase in 2024. Higher logistics, energy and insurance costs were contributing factors.</w:t>
      </w:r>
    </w:p>
    <w:p w14:paraId="10AFE5D9" w14:textId="785D23DE" w:rsidR="000719D7" w:rsidRPr="000719D7" w:rsidRDefault="000719D7" w:rsidP="007D2CF0">
      <w:r w:rsidRPr="000719D7">
        <w:t xml:space="preserve">As measured by the producer price index, the cost of providing accommodation, as well as café, restaurant, and takeaway food services, increased faster than the nationwide average in 2024. </w:t>
      </w:r>
    </w:p>
    <w:p w14:paraId="4AA86846" w14:textId="3811C2B4" w:rsidR="006F29EF" w:rsidRDefault="000719D7" w:rsidP="007D2CF0">
      <w:r w:rsidRPr="000719D7">
        <w:t>The cost of providing accommodation services rose by 5.8% in 2024, and by 2.6% for cafés, restaurants, and takeaway food services</w:t>
      </w:r>
      <w:r w:rsidR="007923FC">
        <w:t xml:space="preserve"> (Figure 23)</w:t>
      </w:r>
      <w:r w:rsidRPr="000719D7">
        <w:t>. According to the ABS, producer prices for accommodation and food services rose due to increased demand surrounding Christmas, school holidays, and major sporting events.</w:t>
      </w:r>
    </w:p>
    <w:p w14:paraId="498BF3D5" w14:textId="756D7003" w:rsidR="00231342" w:rsidRPr="00231342" w:rsidRDefault="000719D7" w:rsidP="00231342">
      <w:pPr>
        <w:pStyle w:val="ListBullet"/>
        <w:keepNext/>
        <w:numPr>
          <w:ilvl w:val="0"/>
          <w:numId w:val="0"/>
        </w:numPr>
        <w:spacing w:line="300" w:lineRule="atLeast"/>
        <w:ind w:left="284" w:hanging="284"/>
        <w:rPr>
          <w:color w:val="300050" w:themeColor="text2"/>
        </w:rPr>
      </w:pPr>
      <w:r>
        <w:rPr>
          <w:rFonts w:ascii="Verdana" w:eastAsiaTheme="minorHAnsi" w:hAnsi="Verdana"/>
          <w:b/>
          <w:bCs/>
          <w:color w:val="300050" w:themeColor="text2"/>
          <w:lang w:eastAsia="en-US"/>
        </w:rPr>
        <w:lastRenderedPageBreak/>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231342">
        <w:rPr>
          <w:rFonts w:ascii="Verdana" w:eastAsiaTheme="minorHAnsi" w:hAnsi="Verdana"/>
          <w:b/>
          <w:bCs/>
          <w:noProof/>
          <w:color w:val="300050" w:themeColor="text2"/>
          <w:lang w:eastAsia="en-US"/>
        </w:rPr>
        <w:t>23</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231342" w:rsidRPr="00231342">
        <w:rPr>
          <w:color w:val="300050" w:themeColor="text2"/>
        </w:rPr>
        <w:t>Quarterly producer price index from March 2019 to December 2024</w:t>
      </w:r>
    </w:p>
    <w:p w14:paraId="66BB5FF9" w14:textId="0DAE9093" w:rsidR="000719D7" w:rsidRDefault="00231342" w:rsidP="00231342">
      <w:pPr>
        <w:pStyle w:val="ListBullet"/>
        <w:keepNext/>
        <w:numPr>
          <w:ilvl w:val="0"/>
          <w:numId w:val="0"/>
        </w:numPr>
        <w:spacing w:line="300" w:lineRule="atLeast"/>
      </w:pPr>
      <w:r w:rsidRPr="00231342">
        <w:rPr>
          <w:color w:val="300050" w:themeColor="text2"/>
        </w:rPr>
        <w:t>(Index base 2011</w:t>
      </w:r>
      <w:r w:rsidR="00141CA2">
        <w:rPr>
          <w:color w:val="300050" w:themeColor="text2"/>
        </w:rPr>
        <w:t>−</w:t>
      </w:r>
      <w:r w:rsidRPr="00231342">
        <w:rPr>
          <w:color w:val="300050" w:themeColor="text2"/>
        </w:rPr>
        <w:t>12 =100)</w:t>
      </w:r>
    </w:p>
    <w:p w14:paraId="63AFA61F" w14:textId="77777777" w:rsidR="007C7889" w:rsidRDefault="000719D7" w:rsidP="007C7889">
      <w:pPr>
        <w:spacing w:before="0" w:after="160" w:line="259" w:lineRule="auto"/>
      </w:pPr>
      <w:r w:rsidRPr="000719D7">
        <w:rPr>
          <w:noProof/>
        </w:rPr>
        <w:drawing>
          <wp:inline distT="0" distB="0" distL="0" distR="0" wp14:anchorId="70B4190B" wp14:editId="13ADAD82">
            <wp:extent cx="6329680" cy="3209925"/>
            <wp:effectExtent l="0" t="0" r="0" b="0"/>
            <wp:docPr id="356285602" name="Chart 1" descr="Line chart showing quarterly producer price index from March 2019 to December 2024 overall, for accommodation and cafes, restaurants and takeaway food services. The schart highlight Accommodation and cafe's are higher than the total CPI indicating a higher cost of doing business for these industries. ">
              <a:extLst xmlns:a="http://schemas.openxmlformats.org/drawingml/2006/main">
                <a:ext uri="{FF2B5EF4-FFF2-40B4-BE49-F238E27FC236}">
                  <a16:creationId xmlns:a16="http://schemas.microsoft.com/office/drawing/2014/main" id="{0E7E0F83-F584-7299-78C9-9D1189946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A640FB" w14:textId="36A4598A" w:rsidR="007C7889" w:rsidRPr="000901BC" w:rsidRDefault="007C7889" w:rsidP="00286DC9">
      <w:pPr>
        <w:spacing w:before="360" w:after="240" w:line="380" w:lineRule="atLeast"/>
        <w:ind w:left="567" w:right="45"/>
        <w:rPr>
          <w:color w:val="893B94" w:themeColor="accent1"/>
          <w:sz w:val="28"/>
          <w:szCs w:val="28"/>
          <w:lang w:eastAsia="zh-CN"/>
        </w:rPr>
      </w:pPr>
      <w:r w:rsidRPr="000901BC">
        <w:rPr>
          <w:color w:val="893B94" w:themeColor="accent1"/>
          <w:sz w:val="28"/>
          <w:szCs w:val="28"/>
          <w:lang w:eastAsia="zh-CN"/>
        </w:rPr>
        <w:t>Case study</w:t>
      </w:r>
      <w:r w:rsidR="00ED32B7">
        <w:rPr>
          <w:color w:val="893B94" w:themeColor="accent1"/>
          <w:sz w:val="28"/>
          <w:szCs w:val="28"/>
          <w:lang w:eastAsia="zh-CN"/>
        </w:rPr>
        <w:t>:</w:t>
      </w:r>
      <w:r w:rsidRPr="000901BC">
        <w:rPr>
          <w:color w:val="893B94" w:themeColor="accent1"/>
          <w:sz w:val="28"/>
          <w:szCs w:val="28"/>
          <w:lang w:eastAsia="zh-CN"/>
        </w:rPr>
        <w:t xml:space="preserve"> </w:t>
      </w:r>
      <w:r w:rsidR="002A674C">
        <w:rPr>
          <w:color w:val="893B94" w:themeColor="accent1"/>
          <w:sz w:val="28"/>
          <w:szCs w:val="28"/>
          <w:lang w:eastAsia="zh-CN"/>
        </w:rPr>
        <w:t xml:space="preserve">Promoting local tourism – </w:t>
      </w:r>
      <w:r w:rsidRPr="000901BC">
        <w:rPr>
          <w:color w:val="893B94" w:themeColor="accent1"/>
          <w:sz w:val="28"/>
          <w:szCs w:val="28"/>
          <w:lang w:eastAsia="zh-CN"/>
        </w:rPr>
        <w:t xml:space="preserve">Chimes Spa Retreat </w:t>
      </w:r>
    </w:p>
    <w:p w14:paraId="717E6B77" w14:textId="0CE05194" w:rsidR="007C7889" w:rsidRPr="00ED32B7" w:rsidRDefault="007C7889" w:rsidP="00ED32B7">
      <w:pPr>
        <w:ind w:left="567" w:right="45"/>
        <w:rPr>
          <w:lang w:val="en-US" w:eastAsia="zh-CN"/>
        </w:rPr>
      </w:pPr>
      <w:r w:rsidRPr="00ED32B7">
        <w:rPr>
          <w:lang w:val="en-US" w:eastAsia="zh-CN"/>
        </w:rPr>
        <w:t>The Western Australia Visitor Economy Strategy 2033 (WAVES 2033) is a 10-year plan for Western Australia to become a world-class tourism destination. It aims to immerse visitors in the state’s unique cultures, communities and environment to achieve $25 billion in visitor spend annually by 2033.</w:t>
      </w:r>
    </w:p>
    <w:p w14:paraId="19ED9BB6" w14:textId="77777777" w:rsidR="007C7889" w:rsidRPr="00ED32B7" w:rsidRDefault="007C7889" w:rsidP="00ED32B7">
      <w:pPr>
        <w:ind w:left="567" w:right="45"/>
        <w:rPr>
          <w:lang w:val="en-US" w:eastAsia="zh-CN"/>
        </w:rPr>
      </w:pPr>
      <w:r w:rsidRPr="00ED32B7">
        <w:rPr>
          <w:lang w:val="en-US" w:eastAsia="zh-CN"/>
        </w:rPr>
        <w:t xml:space="preserve">Key aspects of the strategy include enhancing aviation connectivity, developing regional tourism, promoting events and strengthening First Nations tourism. </w:t>
      </w:r>
    </w:p>
    <w:p w14:paraId="4B7B42C0" w14:textId="77777777" w:rsidR="007C7889" w:rsidRPr="00ED32B7" w:rsidRDefault="007C7889" w:rsidP="00ED32B7">
      <w:pPr>
        <w:ind w:left="567" w:right="45"/>
        <w:rPr>
          <w:lang w:val="en-US" w:eastAsia="zh-CN"/>
        </w:rPr>
      </w:pPr>
      <w:r w:rsidRPr="00ED32B7">
        <w:rPr>
          <w:lang w:val="en-US" w:eastAsia="zh-CN"/>
        </w:rPr>
        <w:t xml:space="preserve">Chimes Spa Retreat, in the coastal town of Denmark, is an example of a Western Australian tourism operator that has aligned with this strategy to make advances. In 2 short years, Chimes has doubled the average length of stay by actively promoting local tourism attractions and experiences. Chimes’s curated guest itineraries feature visits to local wineries and galleries, as well as nature walks and adventure experiences with local operators. </w:t>
      </w:r>
    </w:p>
    <w:p w14:paraId="52BC8AFA" w14:textId="77777777" w:rsidR="007C7889" w:rsidRPr="00ED32B7" w:rsidRDefault="007C7889" w:rsidP="00ED32B7">
      <w:pPr>
        <w:ind w:left="567" w:right="45"/>
        <w:rPr>
          <w:lang w:val="en-US" w:eastAsia="zh-CN"/>
        </w:rPr>
      </w:pPr>
      <w:r w:rsidRPr="00ED32B7">
        <w:rPr>
          <w:lang w:val="en-US" w:eastAsia="zh-CN"/>
        </w:rPr>
        <w:t>Chimes Spa Retreat’s collaboration with food and wine vendors encourages guests to explore more of Denmark and extend their stay. The retreat makes employing local people a priority and invests in career development. It uses local providers and services wherever possible, such as collaborating with renowned local chefs to curate memorable, private dining experiences. This regional-first approach has brought benefits to broader visitor economy around Denmark.</w:t>
      </w:r>
    </w:p>
    <w:p w14:paraId="4AF2F58C" w14:textId="77777777" w:rsidR="007C7889" w:rsidRPr="00ED32B7" w:rsidRDefault="007C7889" w:rsidP="00ED32B7">
      <w:pPr>
        <w:spacing w:after="240" w:line="380" w:lineRule="atLeast"/>
        <w:ind w:left="567" w:right="45"/>
        <w:rPr>
          <w:color w:val="893B94" w:themeColor="accent1"/>
          <w:sz w:val="28"/>
          <w:szCs w:val="28"/>
          <w:lang w:eastAsia="zh-CN"/>
        </w:rPr>
      </w:pPr>
      <w:r w:rsidRPr="00ED32B7">
        <w:rPr>
          <w:color w:val="893B94" w:themeColor="accent1"/>
          <w:sz w:val="28"/>
          <w:szCs w:val="28"/>
          <w:lang w:eastAsia="zh-CN"/>
        </w:rPr>
        <w:t>Case study provided by Tourism Western Australia</w:t>
      </w:r>
    </w:p>
    <w:p w14:paraId="19BDC0DF" w14:textId="262C80BF" w:rsidR="002E5072" w:rsidRDefault="002E5072">
      <w:pPr>
        <w:spacing w:before="0" w:after="160" w:line="259" w:lineRule="auto"/>
      </w:pPr>
    </w:p>
    <w:p w14:paraId="31227B82" w14:textId="7EFEF4B4" w:rsidR="008769A0" w:rsidRDefault="008769A0" w:rsidP="008769A0">
      <w:pPr>
        <w:pStyle w:val="Heading3"/>
      </w:pPr>
      <w:bookmarkStart w:id="24" w:name="_Toc200703625"/>
      <w:r>
        <w:lastRenderedPageBreak/>
        <w:t>Tourism jobs</w:t>
      </w:r>
      <w:bookmarkEnd w:id="24"/>
    </w:p>
    <w:p w14:paraId="3A97CA21" w14:textId="3F470096" w:rsidR="0053497E" w:rsidRPr="0053497E" w:rsidRDefault="0053497E" w:rsidP="008769A0">
      <w:r w:rsidRPr="0053497E">
        <w:t>At the end of the December quarter in 2024, there were 713,500 jobs in the tourism sector. This was 17,500 (2.5%) higher than the number of jobs a year ago (December quarter 2023). It was also a record high number of jobs in the tourism sector.</w:t>
      </w:r>
      <w:r>
        <w:t xml:space="preserve"> </w:t>
      </w:r>
      <w:r w:rsidRPr="0053497E">
        <w:t>The tourism sector accounted for 4.4%, or 1 in every 2</w:t>
      </w:r>
      <w:r w:rsidR="00467B04">
        <w:t>3</w:t>
      </w:r>
      <w:r w:rsidRPr="0053497E">
        <w:t>, of all Australian jobs in 2024</w:t>
      </w:r>
      <w:r w:rsidR="002A7EFA">
        <w:t xml:space="preserve"> (Figure 24)</w:t>
      </w:r>
      <w:r w:rsidRPr="0053497E">
        <w:t>.</w:t>
      </w:r>
    </w:p>
    <w:p w14:paraId="6E82B7D1" w14:textId="172124EE" w:rsidR="0041799A" w:rsidRDefault="0053497E" w:rsidP="008769A0">
      <w:r w:rsidRPr="0053497E">
        <w:t>The increase in tourism filled jobs in 2024 is good news for the visitor economy, which faces difficulties finding sufficiently skilled staff to service demand. While skills shortages still exist throughout the visitor economy especially in particular occupations, the prevalence and scale has decreased. Cafés, restaurants and takeaway foods services combined with accommodation and retail trade account for almost 2 in 3 jobs in the sector.</w:t>
      </w:r>
    </w:p>
    <w:p w14:paraId="3FAE0313" w14:textId="77777777" w:rsidR="0041799A" w:rsidRDefault="0053497E" w:rsidP="0041799A">
      <w:pPr>
        <w:spacing w:before="0" w:after="160" w:line="259" w:lineRule="auto"/>
        <w:rPr>
          <w:color w:val="300050" w:themeColor="text2"/>
        </w:rPr>
      </w:pPr>
      <w:r>
        <w:rPr>
          <w:b/>
          <w:bCs/>
          <w:color w:val="300050" w:themeColor="text2"/>
        </w:rPr>
        <w:t xml:space="preserve">Figure </w:t>
      </w:r>
      <w:r>
        <w:rPr>
          <w:b/>
          <w:bCs/>
          <w:color w:val="300050" w:themeColor="text2"/>
        </w:rPr>
        <w:fldChar w:fldCharType="begin"/>
      </w:r>
      <w:r>
        <w:rPr>
          <w:b/>
          <w:bCs/>
          <w:color w:val="300050" w:themeColor="text2"/>
        </w:rPr>
        <w:instrText xml:space="preserve"> SEQ Figure \* ARABIC </w:instrText>
      </w:r>
      <w:r>
        <w:rPr>
          <w:b/>
          <w:bCs/>
          <w:color w:val="300050" w:themeColor="text2"/>
        </w:rPr>
        <w:fldChar w:fldCharType="separate"/>
      </w:r>
      <w:r>
        <w:rPr>
          <w:b/>
          <w:bCs/>
          <w:noProof/>
          <w:color w:val="300050" w:themeColor="text2"/>
        </w:rPr>
        <w:t>24</w:t>
      </w:r>
      <w:r>
        <w:rPr>
          <w:b/>
          <w:bCs/>
          <w:color w:val="300050" w:themeColor="text2"/>
        </w:rPr>
        <w:fldChar w:fldCharType="end"/>
      </w:r>
      <w:r>
        <w:rPr>
          <w:b/>
          <w:bCs/>
          <w:color w:val="300050" w:themeColor="text2"/>
        </w:rPr>
        <w:t>.</w:t>
      </w:r>
      <w:r>
        <w:rPr>
          <w:b/>
          <w:bCs/>
          <w:i/>
          <w:iCs/>
        </w:rPr>
        <w:t xml:space="preserve"> </w:t>
      </w:r>
      <w:r w:rsidR="00426CCA" w:rsidRPr="00426CCA">
        <w:rPr>
          <w:color w:val="300050" w:themeColor="text2"/>
        </w:rPr>
        <w:t>Tourism filled jobs and the proportion of economy-wide filled jobs 2017 to 2024</w:t>
      </w:r>
      <w:r w:rsidR="00426CCA">
        <w:rPr>
          <w:color w:val="300050" w:themeColor="text2"/>
        </w:rPr>
        <w:t>.</w:t>
      </w:r>
    </w:p>
    <w:p w14:paraId="47B02607" w14:textId="77777777" w:rsidR="0041799A" w:rsidRDefault="00426CCA" w:rsidP="0041799A">
      <w:pPr>
        <w:spacing w:before="0" w:after="160" w:line="259" w:lineRule="auto"/>
        <w:rPr>
          <w:rFonts w:asciiTheme="minorHAnsi" w:eastAsiaTheme="minorEastAsia" w:hAnsiTheme="minorHAnsi"/>
          <w:color w:val="auto"/>
          <w:lang w:eastAsia="zh-CN"/>
        </w:rPr>
      </w:pPr>
      <w:r w:rsidRPr="00426CCA">
        <w:rPr>
          <w:noProof/>
        </w:rPr>
        <w:drawing>
          <wp:inline distT="0" distB="0" distL="0" distR="0" wp14:anchorId="4B22E34B" wp14:editId="3D7601B8">
            <wp:extent cx="5939790" cy="3095625"/>
            <wp:effectExtent l="0" t="0" r="3810" b="0"/>
            <wp:docPr id="832541896" name="Chart 1" descr="A line chart outlining tourism filled jobs and as a proportion of economy wide jobs from 2017 to 2024. Q4 Dec recorded the highest number of tourism filled jobs ever however the proportion remained the same at 4.4%. ">
              <a:extLst xmlns:a="http://schemas.openxmlformats.org/drawingml/2006/main">
                <a:ext uri="{FF2B5EF4-FFF2-40B4-BE49-F238E27FC236}">
                  <a16:creationId xmlns:a16="http://schemas.microsoft.com/office/drawing/2014/main" id="{9C3DB257-B745-9368-7255-3229BB5B3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2FF068" w14:textId="6D0430F2" w:rsidR="0041799A" w:rsidRDefault="002E5072" w:rsidP="002A7EFA">
      <w:pPr>
        <w:rPr>
          <w:lang w:eastAsia="zh-CN"/>
        </w:rPr>
      </w:pPr>
      <w:r w:rsidRPr="002E5072">
        <w:rPr>
          <w:lang w:eastAsia="zh-CN"/>
        </w:rPr>
        <w:t>In 2024</w:t>
      </w:r>
      <w:r w:rsidR="00816412">
        <w:rPr>
          <w:lang w:eastAsia="zh-CN"/>
        </w:rPr>
        <w:t>,</w:t>
      </w:r>
      <w:r w:rsidRPr="002E5072">
        <w:rPr>
          <w:lang w:eastAsia="zh-CN"/>
        </w:rPr>
        <w:t xml:space="preserve"> there were 169,873 </w:t>
      </w:r>
      <w:r w:rsidR="00816412" w:rsidRPr="002E5072">
        <w:rPr>
          <w:lang w:eastAsia="zh-CN"/>
        </w:rPr>
        <w:t>tourism</w:t>
      </w:r>
      <w:r w:rsidR="00816412">
        <w:rPr>
          <w:lang w:eastAsia="zh-CN"/>
        </w:rPr>
        <w:t>-related</w:t>
      </w:r>
      <w:r w:rsidR="00816412" w:rsidRPr="002E5072">
        <w:rPr>
          <w:lang w:eastAsia="zh-CN"/>
        </w:rPr>
        <w:t xml:space="preserve"> </w:t>
      </w:r>
      <w:r w:rsidRPr="002E5072">
        <w:rPr>
          <w:lang w:eastAsia="zh-CN"/>
        </w:rPr>
        <w:t xml:space="preserve">online job vacancies. While this </w:t>
      </w:r>
      <w:r w:rsidR="00AB3D7E">
        <w:rPr>
          <w:lang w:eastAsia="zh-CN"/>
        </w:rPr>
        <w:t>wa</w:t>
      </w:r>
      <w:r w:rsidRPr="002E5072">
        <w:rPr>
          <w:lang w:eastAsia="zh-CN"/>
        </w:rPr>
        <w:t>s 40,000 fewer (</w:t>
      </w:r>
      <w:r w:rsidR="00B46040">
        <w:rPr>
          <w:lang w:eastAsia="zh-CN"/>
        </w:rPr>
        <w:noBreakHyphen/>
      </w:r>
      <w:r w:rsidRPr="002E5072">
        <w:rPr>
          <w:lang w:eastAsia="zh-CN"/>
        </w:rPr>
        <w:t xml:space="preserve">20%) </w:t>
      </w:r>
      <w:r w:rsidR="00AB3D7E" w:rsidRPr="002E5072">
        <w:rPr>
          <w:lang w:eastAsia="zh-CN"/>
        </w:rPr>
        <w:t xml:space="preserve">vacancies </w:t>
      </w:r>
      <w:r w:rsidRPr="002E5072">
        <w:rPr>
          <w:lang w:eastAsia="zh-CN"/>
        </w:rPr>
        <w:t xml:space="preserve">than in 2023, the industry still </w:t>
      </w:r>
      <w:r w:rsidR="00AB3D7E">
        <w:rPr>
          <w:lang w:eastAsia="zh-CN"/>
        </w:rPr>
        <w:t>faced</w:t>
      </w:r>
      <w:r w:rsidRPr="002E5072">
        <w:rPr>
          <w:lang w:eastAsia="zh-CN"/>
        </w:rPr>
        <w:t xml:space="preserve"> challenge</w:t>
      </w:r>
      <w:r w:rsidR="00AB3D7E">
        <w:rPr>
          <w:lang w:eastAsia="zh-CN"/>
        </w:rPr>
        <w:t>s</w:t>
      </w:r>
      <w:r w:rsidRPr="002E5072">
        <w:rPr>
          <w:lang w:eastAsia="zh-CN"/>
        </w:rPr>
        <w:t xml:space="preserve"> filling jobs with skilled workers</w:t>
      </w:r>
      <w:r w:rsidR="00D77820">
        <w:rPr>
          <w:lang w:eastAsia="zh-CN"/>
        </w:rPr>
        <w:t xml:space="preserve"> (Figure 25)</w:t>
      </w:r>
      <w:r w:rsidRPr="002E5072">
        <w:rPr>
          <w:lang w:eastAsia="zh-CN"/>
        </w:rPr>
        <w:t xml:space="preserve">. </w:t>
      </w:r>
    </w:p>
    <w:p w14:paraId="6AC61E7D" w14:textId="77777777" w:rsidR="00A02DC7" w:rsidRPr="00A02DC7" w:rsidRDefault="00A02DC7" w:rsidP="00170A03">
      <w:pPr>
        <w:spacing w:before="0" w:after="160"/>
        <w:rPr>
          <w:lang w:eastAsia="zh-CN"/>
        </w:rPr>
      </w:pPr>
      <w:r w:rsidRPr="00A02DC7">
        <w:rPr>
          <w:lang w:eastAsia="zh-CN"/>
        </w:rPr>
        <w:t>For example, tour guides have faced national shortages since 2022. This occupation is on the Occupational Shortage List introduced in 2024, and was on its precursor, the Skills Priority List, since 2022. The lists identify occupations where employers face significant difficulties in filling vacancies. Chefs, cooks, pastrycooks, hotel managers, airplane pilots, and flight attendants were also listed with widespread shortages in 2024.</w:t>
      </w:r>
    </w:p>
    <w:p w14:paraId="700F2432" w14:textId="6EADA771" w:rsidR="00966C39" w:rsidRPr="002E5072" w:rsidRDefault="00966C39" w:rsidP="0041799A">
      <w:pPr>
        <w:spacing w:before="0" w:after="160" w:line="259" w:lineRule="auto"/>
        <w:rPr>
          <w:color w:val="300050" w:themeColor="text2"/>
        </w:rPr>
      </w:pPr>
      <w:r>
        <w:rPr>
          <w:b/>
          <w:bCs/>
          <w:color w:val="300050" w:themeColor="text2"/>
        </w:rPr>
        <w:lastRenderedPageBreak/>
        <w:t xml:space="preserve">Figure </w:t>
      </w:r>
      <w:r>
        <w:rPr>
          <w:b/>
          <w:bCs/>
          <w:color w:val="300050" w:themeColor="text2"/>
        </w:rPr>
        <w:fldChar w:fldCharType="begin"/>
      </w:r>
      <w:r>
        <w:rPr>
          <w:b/>
          <w:bCs/>
          <w:color w:val="300050" w:themeColor="text2"/>
        </w:rPr>
        <w:instrText xml:space="preserve"> SEQ Figure \* ARABIC </w:instrText>
      </w:r>
      <w:r>
        <w:rPr>
          <w:b/>
          <w:bCs/>
          <w:color w:val="300050" w:themeColor="text2"/>
        </w:rPr>
        <w:fldChar w:fldCharType="separate"/>
      </w:r>
      <w:r>
        <w:rPr>
          <w:b/>
          <w:bCs/>
          <w:noProof/>
          <w:color w:val="300050" w:themeColor="text2"/>
        </w:rPr>
        <w:t>25</w:t>
      </w:r>
      <w:r>
        <w:rPr>
          <w:b/>
          <w:bCs/>
          <w:color w:val="300050" w:themeColor="text2"/>
        </w:rPr>
        <w:fldChar w:fldCharType="end"/>
      </w:r>
      <w:r>
        <w:rPr>
          <w:b/>
          <w:bCs/>
          <w:color w:val="300050" w:themeColor="text2"/>
        </w:rPr>
        <w:t>.</w:t>
      </w:r>
      <w:r>
        <w:rPr>
          <w:b/>
          <w:bCs/>
          <w:i/>
          <w:iCs/>
        </w:rPr>
        <w:t xml:space="preserve"> </w:t>
      </w:r>
      <w:r w:rsidRPr="00966C39">
        <w:rPr>
          <w:color w:val="300050" w:themeColor="text2"/>
        </w:rPr>
        <w:t>Online job vacancies advertised for tourism-related occupations, yearly for 2023 and 2024</w:t>
      </w:r>
      <w:r>
        <w:rPr>
          <w:color w:val="300050" w:themeColor="text2"/>
        </w:rPr>
        <w:t>.</w:t>
      </w:r>
      <w:r w:rsidR="004A3F83">
        <w:rPr>
          <w:color w:val="300050" w:themeColor="text2"/>
        </w:rPr>
        <w:br/>
      </w:r>
      <w:r w:rsidR="004A3F83" w:rsidRPr="004A3F83">
        <w:rPr>
          <w:noProof/>
        </w:rPr>
        <w:drawing>
          <wp:inline distT="0" distB="0" distL="0" distR="0" wp14:anchorId="5FB7B0E1" wp14:editId="32351C39">
            <wp:extent cx="6329680" cy="3324225"/>
            <wp:effectExtent l="0" t="0" r="0" b="0"/>
            <wp:docPr id="840749288" name="Chart 1" descr="Clustered bar chart outlinging the online job vacancies advertised for tourism related occupations for 2023 and 2024. Overall, there are far less online job vacancies for more occupations in 2024.">
              <a:extLst xmlns:a="http://schemas.openxmlformats.org/drawingml/2006/main">
                <a:ext uri="{FF2B5EF4-FFF2-40B4-BE49-F238E27FC236}">
                  <a16:creationId xmlns:a16="http://schemas.microsoft.com/office/drawing/2014/main" id="{A667C372-6118-22E2-037E-77AE335D7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00A2BF" w14:textId="77777777" w:rsidR="00D635CD" w:rsidRPr="008769A0" w:rsidRDefault="00D635CD" w:rsidP="00D77820">
      <w:pPr>
        <w:pStyle w:val="ListBullet"/>
        <w:keepNext/>
        <w:numPr>
          <w:ilvl w:val="0"/>
          <w:numId w:val="0"/>
        </w:numPr>
        <w:spacing w:line="240" w:lineRule="auto"/>
        <w:rPr>
          <w:sz w:val="18"/>
          <w:szCs w:val="18"/>
        </w:rPr>
      </w:pPr>
      <w:r w:rsidRPr="008769A0">
        <w:rPr>
          <w:sz w:val="18"/>
          <w:szCs w:val="18"/>
        </w:rPr>
        <w:t>* Sum of housekeepers, hotel and motel managers, hotel service managers</w:t>
      </w:r>
    </w:p>
    <w:p w14:paraId="66705074" w14:textId="77777777" w:rsidR="00D635CD" w:rsidRPr="008769A0" w:rsidRDefault="00D635CD" w:rsidP="00D77820">
      <w:pPr>
        <w:pStyle w:val="ListBullet"/>
        <w:keepNext/>
        <w:numPr>
          <w:ilvl w:val="0"/>
          <w:numId w:val="0"/>
        </w:numPr>
        <w:spacing w:line="240" w:lineRule="auto"/>
        <w:rPr>
          <w:sz w:val="18"/>
          <w:szCs w:val="18"/>
        </w:rPr>
      </w:pPr>
      <w:r w:rsidRPr="008769A0">
        <w:rPr>
          <w:sz w:val="18"/>
          <w:szCs w:val="18"/>
        </w:rPr>
        <w:t>^ Sum of tourism and travel advisers, gaming workers, travel attendants</w:t>
      </w:r>
    </w:p>
    <w:p w14:paraId="14BFE68B" w14:textId="3FE926EC" w:rsidR="00153761" w:rsidRPr="008769A0" w:rsidRDefault="00D635CD" w:rsidP="00D1389F">
      <w:pPr>
        <w:pStyle w:val="ListBullet"/>
        <w:keepNext/>
        <w:numPr>
          <w:ilvl w:val="0"/>
          <w:numId w:val="0"/>
        </w:numPr>
        <w:spacing w:line="240" w:lineRule="auto"/>
        <w:rPr>
          <w:sz w:val="18"/>
          <w:szCs w:val="18"/>
        </w:rPr>
      </w:pPr>
      <w:r w:rsidRPr="008769A0">
        <w:rPr>
          <w:sz w:val="18"/>
          <w:szCs w:val="18"/>
        </w:rPr>
        <w:t>~ Sum of cafe workers, food trades assistants, fast food cooks</w:t>
      </w:r>
    </w:p>
    <w:p w14:paraId="37E55EFE" w14:textId="71DE3C2D" w:rsidR="00D635CD" w:rsidRPr="00C07AB6" w:rsidRDefault="00D635CD" w:rsidP="00D1389F">
      <w:pPr>
        <w:spacing w:before="360" w:after="240" w:line="380" w:lineRule="atLeast"/>
        <w:ind w:left="567" w:right="45"/>
        <w:rPr>
          <w:color w:val="893B94" w:themeColor="accent1"/>
          <w:sz w:val="28"/>
          <w:szCs w:val="28"/>
          <w:lang w:eastAsia="zh-CN"/>
        </w:rPr>
      </w:pPr>
      <w:r w:rsidRPr="00C07AB6">
        <w:rPr>
          <w:color w:val="893B94" w:themeColor="accent1"/>
          <w:sz w:val="28"/>
          <w:szCs w:val="28"/>
          <w:lang w:eastAsia="zh-CN"/>
        </w:rPr>
        <w:t xml:space="preserve">Case Study: </w:t>
      </w:r>
      <w:r w:rsidR="00263629">
        <w:rPr>
          <w:color w:val="893B94" w:themeColor="accent1"/>
          <w:sz w:val="28"/>
          <w:szCs w:val="28"/>
          <w:lang w:eastAsia="zh-CN"/>
        </w:rPr>
        <w:t>J</w:t>
      </w:r>
      <w:r w:rsidR="00542904">
        <w:rPr>
          <w:color w:val="893B94" w:themeColor="accent1"/>
          <w:sz w:val="28"/>
          <w:szCs w:val="28"/>
          <w:lang w:eastAsia="zh-CN"/>
        </w:rPr>
        <w:t xml:space="preserve">obs in tourism - </w:t>
      </w:r>
      <w:r w:rsidRPr="00C07AB6">
        <w:rPr>
          <w:color w:val="893B94" w:themeColor="accent1"/>
          <w:sz w:val="28"/>
          <w:szCs w:val="28"/>
          <w:lang w:eastAsia="zh-CN"/>
        </w:rPr>
        <w:t xml:space="preserve">Choose Tourism Job Expos, ACT </w:t>
      </w:r>
    </w:p>
    <w:p w14:paraId="19988C50" w14:textId="2B355407" w:rsidR="00D635CD" w:rsidRPr="00C07AB6" w:rsidRDefault="00D635CD" w:rsidP="00C07AB6">
      <w:pPr>
        <w:ind w:left="567" w:right="45"/>
        <w:rPr>
          <w:lang w:val="en-US" w:eastAsia="zh-CN"/>
        </w:rPr>
      </w:pPr>
      <w:r w:rsidRPr="00C07AB6">
        <w:rPr>
          <w:lang w:val="en-US" w:eastAsia="zh-CN"/>
        </w:rPr>
        <w:t>The ACT Choose Tourism program addressed tourism workforce challenges by delivering a suite of initiatives to promote careers in tourism and provide tourism business owners with tools to attract and retain tourism workers.</w:t>
      </w:r>
    </w:p>
    <w:p w14:paraId="0C4B881F" w14:textId="12966663" w:rsidR="00D635CD" w:rsidRPr="00C07AB6" w:rsidRDefault="00D635CD" w:rsidP="00C07AB6">
      <w:pPr>
        <w:ind w:left="567" w:right="45"/>
        <w:rPr>
          <w:lang w:val="en-US" w:eastAsia="zh-CN"/>
        </w:rPr>
      </w:pPr>
      <w:r w:rsidRPr="00C07AB6">
        <w:rPr>
          <w:lang w:val="en-US" w:eastAsia="zh-CN"/>
        </w:rPr>
        <w:t xml:space="preserve">Initiatives </w:t>
      </w:r>
      <w:r w:rsidR="00263629" w:rsidRPr="00263629">
        <w:rPr>
          <w:lang w:eastAsia="zh-CN"/>
        </w:rPr>
        <w:t xml:space="preserve">were supported by grant funding from Austrade and </w:t>
      </w:r>
      <w:r w:rsidRPr="00C07AB6">
        <w:rPr>
          <w:lang w:val="en-US" w:eastAsia="zh-CN"/>
        </w:rPr>
        <w:t>included:</w:t>
      </w:r>
    </w:p>
    <w:p w14:paraId="48B1C36F" w14:textId="77777777" w:rsidR="00D635CD" w:rsidRPr="00542904" w:rsidRDefault="00D635CD" w:rsidP="00086B8D">
      <w:pPr>
        <w:pStyle w:val="ListParagraph"/>
        <w:numPr>
          <w:ilvl w:val="0"/>
          <w:numId w:val="10"/>
        </w:numPr>
        <w:ind w:right="45"/>
        <w:rPr>
          <w:lang w:val="en-US" w:eastAsia="zh-CN"/>
        </w:rPr>
      </w:pPr>
      <w:r w:rsidRPr="00542904">
        <w:rPr>
          <w:lang w:val="en-US" w:eastAsia="zh-CN"/>
        </w:rPr>
        <w:t>3 tourism job expos (at the Australian National University, the University of Canberra and the Canberra Institute of Technology) aimed at school leavers and university vocational students, supported by 32 employers</w:t>
      </w:r>
    </w:p>
    <w:p w14:paraId="66A35FAD" w14:textId="77777777" w:rsidR="00D635CD" w:rsidRPr="00542904" w:rsidRDefault="00D635CD" w:rsidP="00086B8D">
      <w:pPr>
        <w:pStyle w:val="ListParagraph"/>
        <w:numPr>
          <w:ilvl w:val="0"/>
          <w:numId w:val="10"/>
        </w:numPr>
        <w:ind w:right="45"/>
        <w:rPr>
          <w:lang w:val="en-US" w:eastAsia="zh-CN"/>
        </w:rPr>
      </w:pPr>
      <w:r w:rsidRPr="00542904">
        <w:rPr>
          <w:lang w:val="en-US" w:eastAsia="zh-CN"/>
        </w:rPr>
        <w:t>an educational program for non-indigenous participants about Aboriginal and Torres Strait Islander identity, culture and the rich local history of the Ngunnawal region</w:t>
      </w:r>
    </w:p>
    <w:p w14:paraId="249A4E56" w14:textId="2FFE1C5B" w:rsidR="00D635CD" w:rsidRPr="00542904" w:rsidRDefault="00D635CD" w:rsidP="00086B8D">
      <w:pPr>
        <w:pStyle w:val="ListParagraph"/>
        <w:numPr>
          <w:ilvl w:val="0"/>
          <w:numId w:val="10"/>
        </w:numPr>
        <w:ind w:right="45"/>
        <w:rPr>
          <w:lang w:val="en-US" w:eastAsia="zh-CN"/>
        </w:rPr>
      </w:pPr>
      <w:r w:rsidRPr="00542904">
        <w:rPr>
          <w:lang w:val="en-US" w:eastAsia="zh-CN"/>
        </w:rPr>
        <w:t>a program featuring day</w:t>
      </w:r>
      <w:r w:rsidR="00EC2F92">
        <w:rPr>
          <w:lang w:val="en-US" w:eastAsia="zh-CN"/>
        </w:rPr>
        <w:t xml:space="preserve"> </w:t>
      </w:r>
      <w:r w:rsidRPr="00542904">
        <w:rPr>
          <w:lang w:val="en-US" w:eastAsia="zh-CN"/>
        </w:rPr>
        <w:t>trips to local cultural places, which enabled First Nations youth (17 to 24 years of age) to connect to land, culture, peers and mentors – while also learning about career options in the tourism industry</w:t>
      </w:r>
    </w:p>
    <w:p w14:paraId="4EBBEE97" w14:textId="77777777" w:rsidR="00D635CD" w:rsidRPr="00542904" w:rsidRDefault="00D635CD" w:rsidP="00086B8D">
      <w:pPr>
        <w:pStyle w:val="ListParagraph"/>
        <w:numPr>
          <w:ilvl w:val="0"/>
          <w:numId w:val="10"/>
        </w:numPr>
        <w:ind w:right="45"/>
        <w:rPr>
          <w:lang w:val="en-US" w:eastAsia="zh-CN"/>
        </w:rPr>
      </w:pPr>
      <w:r w:rsidRPr="00542904">
        <w:rPr>
          <w:lang w:val="en-US" w:eastAsia="zh-CN"/>
        </w:rPr>
        <w:t>a Presenter Program using 17 local tourism attractions to train 10 people to become educational tourism presenters for visiting school groups</w:t>
      </w:r>
    </w:p>
    <w:p w14:paraId="1ABCFD49" w14:textId="77777777" w:rsidR="00D635CD" w:rsidRPr="00542904" w:rsidRDefault="00D635CD" w:rsidP="00086B8D">
      <w:pPr>
        <w:pStyle w:val="ListParagraph"/>
        <w:numPr>
          <w:ilvl w:val="0"/>
          <w:numId w:val="10"/>
        </w:numPr>
        <w:ind w:right="45"/>
        <w:rPr>
          <w:lang w:val="en-US" w:eastAsia="zh-CN"/>
        </w:rPr>
      </w:pPr>
      <w:r w:rsidRPr="00542904">
        <w:rPr>
          <w:lang w:val="en-US" w:eastAsia="zh-CN"/>
        </w:rPr>
        <w:t>a workshop and webinar that presented ideas, concepts and strategies for small businesses – with the aim of attracting and retaining workers in the visitor economy.</w:t>
      </w:r>
    </w:p>
    <w:p w14:paraId="5F4D989C" w14:textId="77777777" w:rsidR="00D635CD" w:rsidRPr="00542904" w:rsidRDefault="00D635CD" w:rsidP="00086B8D">
      <w:pPr>
        <w:pStyle w:val="ListParagraph"/>
        <w:numPr>
          <w:ilvl w:val="0"/>
          <w:numId w:val="10"/>
        </w:numPr>
        <w:ind w:right="45"/>
        <w:rPr>
          <w:lang w:val="en-US" w:eastAsia="zh-CN"/>
        </w:rPr>
      </w:pPr>
      <w:r w:rsidRPr="00542904">
        <w:rPr>
          <w:lang w:val="en-US" w:eastAsia="zh-CN"/>
        </w:rPr>
        <w:t>a marketing campaign that used digital video, digital audio, social media and online search advertising to direct job seekers to information on local tourism jobs, training and incentives.</w:t>
      </w:r>
    </w:p>
    <w:p w14:paraId="7DD1B3AD" w14:textId="537986F1" w:rsidR="00653618" w:rsidRPr="00D27A33" w:rsidRDefault="00D635CD" w:rsidP="00D27A33">
      <w:pPr>
        <w:ind w:left="567" w:right="45"/>
        <w:rPr>
          <w:lang w:val="en-US" w:eastAsia="zh-CN"/>
        </w:rPr>
      </w:pPr>
      <w:r w:rsidRPr="00C07AB6">
        <w:rPr>
          <w:lang w:val="en-US" w:eastAsia="zh-CN"/>
        </w:rPr>
        <w:lastRenderedPageBreak/>
        <w:t>All parties involved with the delivery of this diverse program of initiatives saw that it delivered positive outcomes and practical support, while also enhancing the profile of tourism as an industry offering an attractive career path. </w:t>
      </w:r>
    </w:p>
    <w:p w14:paraId="76336360" w14:textId="566E0A2C" w:rsidR="00653618" w:rsidRPr="00C07AB6" w:rsidRDefault="00653618" w:rsidP="00C07AB6">
      <w:pPr>
        <w:spacing w:after="240" w:line="380" w:lineRule="atLeast"/>
        <w:ind w:left="567" w:right="45"/>
        <w:rPr>
          <w:color w:val="893B94" w:themeColor="accent1"/>
          <w:sz w:val="28"/>
          <w:szCs w:val="28"/>
          <w:lang w:eastAsia="zh-CN"/>
        </w:rPr>
      </w:pPr>
      <w:r w:rsidRPr="00C07AB6">
        <w:rPr>
          <w:color w:val="893B94" w:themeColor="accent1"/>
          <w:sz w:val="28"/>
          <w:szCs w:val="28"/>
          <w:lang w:eastAsia="zh-CN"/>
        </w:rPr>
        <w:t>Case study provided by VisitCanberra</w:t>
      </w:r>
    </w:p>
    <w:p w14:paraId="26CCA1F8" w14:textId="1DFAF2AE" w:rsidR="00EA616B" w:rsidRPr="00EA616B" w:rsidRDefault="00653618" w:rsidP="00807609">
      <w:pPr>
        <w:pStyle w:val="Heading3"/>
        <w:spacing w:before="360"/>
      </w:pPr>
      <w:bookmarkStart w:id="25" w:name="_Toc200703626"/>
      <w:r>
        <w:t>Investment</w:t>
      </w:r>
      <w:bookmarkEnd w:id="25"/>
      <w:r>
        <w:t xml:space="preserve"> </w:t>
      </w:r>
    </w:p>
    <w:p w14:paraId="2ED3170A" w14:textId="4877AF6E" w:rsidR="00EA616B" w:rsidRPr="00EA616B" w:rsidRDefault="00EA616B" w:rsidP="00807609">
      <w:r w:rsidRPr="00EA616B">
        <w:t>Investment in tourism continued to increase, with the tourism investment pipeline for 2023—24 citing 39 more projects worth $7.3 billion more than 2022—23</w:t>
      </w:r>
      <w:r w:rsidR="00240C5F">
        <w:t xml:space="preserve"> (Figure 26)</w:t>
      </w:r>
      <w:r w:rsidRPr="00EA616B">
        <w:t xml:space="preserve">. The mixed-use sector (excluded from the pipeline) also had an increase of 2,000 accommodation rooms and increased value of $12.3 billion in 2023−24 on the previous year. </w:t>
      </w:r>
    </w:p>
    <w:p w14:paraId="7327B79E" w14:textId="77777777" w:rsidR="00EA616B" w:rsidRPr="00EA616B" w:rsidRDefault="00EA616B" w:rsidP="00807609">
      <w:r w:rsidRPr="00EA616B">
        <w:t xml:space="preserve">In addition to enhancing the tourism offerings, increased investment indicates optimism about the future of tourism in Australia. Preparation for the 2032 Brisbane Olympic and Paralympic Games also generated additional investment activity in Queensland. </w:t>
      </w:r>
    </w:p>
    <w:p w14:paraId="3DCA6347" w14:textId="704B40DA" w:rsidR="00E63CEA" w:rsidRDefault="00AD1A8C" w:rsidP="00D92AA3">
      <w:pPr>
        <w:keepNext/>
        <w:spacing w:before="0" w:after="160" w:line="259" w:lineRule="auto"/>
        <w:rPr>
          <w:color w:val="300050" w:themeColor="text2"/>
        </w:rPr>
      </w:pPr>
      <w:r>
        <w:rPr>
          <w:b/>
          <w:bCs/>
          <w:color w:val="300050" w:themeColor="text2"/>
        </w:rPr>
        <w:t xml:space="preserve">Figure </w:t>
      </w:r>
      <w:r>
        <w:rPr>
          <w:b/>
          <w:bCs/>
          <w:color w:val="300050" w:themeColor="text2"/>
        </w:rPr>
        <w:fldChar w:fldCharType="begin"/>
      </w:r>
      <w:r>
        <w:rPr>
          <w:b/>
          <w:bCs/>
          <w:color w:val="300050" w:themeColor="text2"/>
        </w:rPr>
        <w:instrText xml:space="preserve"> SEQ Figure \* ARABIC </w:instrText>
      </w:r>
      <w:r>
        <w:rPr>
          <w:b/>
          <w:bCs/>
          <w:color w:val="300050" w:themeColor="text2"/>
        </w:rPr>
        <w:fldChar w:fldCharType="separate"/>
      </w:r>
      <w:r>
        <w:rPr>
          <w:b/>
          <w:bCs/>
          <w:noProof/>
          <w:color w:val="300050" w:themeColor="text2"/>
        </w:rPr>
        <w:t>26</w:t>
      </w:r>
      <w:r>
        <w:rPr>
          <w:b/>
          <w:bCs/>
          <w:color w:val="300050" w:themeColor="text2"/>
        </w:rPr>
        <w:fldChar w:fldCharType="end"/>
      </w:r>
      <w:r>
        <w:rPr>
          <w:b/>
          <w:bCs/>
          <w:color w:val="300050" w:themeColor="text2"/>
        </w:rPr>
        <w:t>.</w:t>
      </w:r>
      <w:r>
        <w:rPr>
          <w:b/>
          <w:bCs/>
          <w:i/>
          <w:iCs/>
        </w:rPr>
        <w:t xml:space="preserve"> </w:t>
      </w:r>
      <w:r w:rsidRPr="00AD1A8C">
        <w:rPr>
          <w:color w:val="300050" w:themeColor="text2"/>
        </w:rPr>
        <w:t>Value of the tourism investment pipeline in Australia by sector, 2019</w:t>
      </w:r>
      <w:r w:rsidR="00D42A59">
        <w:rPr>
          <w:color w:val="300050" w:themeColor="text2"/>
        </w:rPr>
        <w:t>-</w:t>
      </w:r>
      <w:r w:rsidRPr="00AD1A8C">
        <w:rPr>
          <w:color w:val="300050" w:themeColor="text2"/>
        </w:rPr>
        <w:t>20 to 2023</w:t>
      </w:r>
      <w:r w:rsidR="00D92AA3">
        <w:rPr>
          <w:color w:val="300050" w:themeColor="text2"/>
        </w:rPr>
        <w:noBreakHyphen/>
      </w:r>
      <w:r w:rsidRPr="00AD1A8C">
        <w:rPr>
          <w:color w:val="300050" w:themeColor="text2"/>
        </w:rPr>
        <w:t>24</w:t>
      </w:r>
      <w:r>
        <w:rPr>
          <w:color w:val="300050" w:themeColor="text2"/>
        </w:rPr>
        <w:t>.</w:t>
      </w:r>
    </w:p>
    <w:p w14:paraId="25633548" w14:textId="77777777" w:rsidR="00F7266A" w:rsidRDefault="00E63CEA" w:rsidP="004B1E68">
      <w:pPr>
        <w:spacing w:before="0" w:after="160" w:line="259" w:lineRule="auto"/>
      </w:pPr>
      <w:r w:rsidRPr="00E63CEA">
        <w:rPr>
          <w:noProof/>
          <w:color w:val="300050" w:themeColor="text2"/>
        </w:rPr>
        <w:drawing>
          <wp:inline distT="0" distB="0" distL="0" distR="0" wp14:anchorId="43FD89FB" wp14:editId="1BE856CF">
            <wp:extent cx="6329680" cy="2962275"/>
            <wp:effectExtent l="0" t="0" r="0" b="0"/>
            <wp:docPr id="1555314771" name="Chart 1" descr="Stacked bar chart of the value invested in aviation, arts, rec, and business and accommodation for FY 20/21 to FY 23/24. Each year shows an increase of total investment YoY. ">
              <a:extLst xmlns:a="http://schemas.openxmlformats.org/drawingml/2006/main">
                <a:ext uri="{FF2B5EF4-FFF2-40B4-BE49-F238E27FC236}">
                  <a16:creationId xmlns:a16="http://schemas.microsoft.com/office/drawing/2014/main" id="{D46FA0E8-E0E6-8C5B-B0CE-F35CD81BF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AD1A8C">
        <w:rPr>
          <w:color w:val="300050" w:themeColor="text2"/>
        </w:rPr>
        <w:br/>
      </w:r>
      <w:r w:rsidR="0006356F">
        <w:rPr>
          <w:color w:val="auto"/>
        </w:rPr>
        <w:t xml:space="preserve">By sector, </w:t>
      </w:r>
      <w:r w:rsidR="00EB050B">
        <w:rPr>
          <w:color w:val="auto"/>
        </w:rPr>
        <w:t xml:space="preserve">tourism investment </w:t>
      </w:r>
      <w:r w:rsidR="00F7266A">
        <w:rPr>
          <w:color w:val="auto"/>
        </w:rPr>
        <w:t>in 2023</w:t>
      </w:r>
      <w:r w:rsidR="00F7266A" w:rsidRPr="00EA616B">
        <w:t>—</w:t>
      </w:r>
      <w:r w:rsidR="00F7266A">
        <w:t>24 was:</w:t>
      </w:r>
    </w:p>
    <w:p w14:paraId="5BBE5F92" w14:textId="77777777" w:rsidR="00FC76E4" w:rsidRPr="00FC76E4" w:rsidRDefault="00F7266A" w:rsidP="00C933F1">
      <w:pPr>
        <w:pStyle w:val="BulletList"/>
        <w:rPr>
          <w:rFonts w:asciiTheme="majorHAnsi" w:hAnsiTheme="majorHAnsi"/>
          <w:color w:val="000000"/>
        </w:rPr>
      </w:pPr>
      <w:r w:rsidRPr="00287A04">
        <w:rPr>
          <w:lang w:eastAsia="en-AU"/>
        </w:rPr>
        <w:t xml:space="preserve">$23.1 billion in </w:t>
      </w:r>
      <w:r w:rsidR="00FC76E4">
        <w:rPr>
          <w:lang w:eastAsia="en-AU"/>
        </w:rPr>
        <w:t>a</w:t>
      </w:r>
      <w:r w:rsidR="005A7568" w:rsidRPr="00FC76E4">
        <w:rPr>
          <w:color w:val="auto"/>
        </w:rPr>
        <w:t>viation</w:t>
      </w:r>
      <w:r w:rsidR="006A70C9" w:rsidRPr="00FC76E4">
        <w:rPr>
          <w:color w:val="auto"/>
        </w:rPr>
        <w:t xml:space="preserve"> </w:t>
      </w:r>
      <w:r w:rsidR="00E07FC9" w:rsidRPr="00FC76E4">
        <w:rPr>
          <w:color w:val="auto"/>
        </w:rPr>
        <w:t xml:space="preserve">investment </w:t>
      </w:r>
      <w:r w:rsidR="00E07FC9" w:rsidRPr="00287A04">
        <w:rPr>
          <w:lang w:eastAsia="en-AU"/>
        </w:rPr>
        <w:t xml:space="preserve">across 22 projects. This was </w:t>
      </w:r>
      <w:r w:rsidR="00FC76E4">
        <w:rPr>
          <w:lang w:eastAsia="en-AU"/>
        </w:rPr>
        <w:t>up</w:t>
      </w:r>
      <w:r w:rsidR="009473F6">
        <w:rPr>
          <w:lang w:eastAsia="en-AU"/>
        </w:rPr>
        <w:t xml:space="preserve"> </w:t>
      </w:r>
      <w:r w:rsidR="00E07FC9" w:rsidRPr="00287A04">
        <w:rPr>
          <w:lang w:eastAsia="en-AU"/>
        </w:rPr>
        <w:t>$4.2 billion</w:t>
      </w:r>
      <w:r w:rsidR="00164B37" w:rsidRPr="00287A04">
        <w:rPr>
          <w:lang w:eastAsia="en-AU"/>
        </w:rPr>
        <w:t xml:space="preserve"> and 3 projects from 2022</w:t>
      </w:r>
      <w:r w:rsidR="00316D63" w:rsidRPr="00EA616B">
        <w:t>—</w:t>
      </w:r>
      <w:r w:rsidR="00164B37" w:rsidRPr="00287A04">
        <w:rPr>
          <w:lang w:eastAsia="en-AU"/>
        </w:rPr>
        <w:t>23.</w:t>
      </w:r>
    </w:p>
    <w:p w14:paraId="644943DC" w14:textId="77777777" w:rsidR="00452786" w:rsidRDefault="00FC76E4" w:rsidP="000E5AAF">
      <w:pPr>
        <w:pStyle w:val="BulletList"/>
        <w:rPr>
          <w:lang w:eastAsia="en-AU"/>
        </w:rPr>
      </w:pPr>
      <w:r w:rsidRPr="00452786">
        <w:rPr>
          <w:rFonts w:asciiTheme="majorHAnsi" w:hAnsiTheme="majorHAnsi"/>
          <w:color w:val="000000"/>
        </w:rPr>
        <w:t>$28.9 billion in a</w:t>
      </w:r>
      <w:r w:rsidR="00164B37" w:rsidRPr="00452786">
        <w:rPr>
          <w:color w:val="auto"/>
        </w:rPr>
        <w:t xml:space="preserve">rts, recreation, and business services investment </w:t>
      </w:r>
      <w:r w:rsidR="00164B37" w:rsidRPr="00287A04">
        <w:rPr>
          <w:lang w:eastAsia="en-AU"/>
        </w:rPr>
        <w:t>across</w:t>
      </w:r>
      <w:r w:rsidR="00164B37">
        <w:rPr>
          <w:lang w:eastAsia="en-AU"/>
        </w:rPr>
        <w:t xml:space="preserve"> 160 projects. This was </w:t>
      </w:r>
      <w:r w:rsidR="00452786">
        <w:rPr>
          <w:lang w:eastAsia="en-AU"/>
        </w:rPr>
        <w:t>up</w:t>
      </w:r>
      <w:r w:rsidR="009473F6">
        <w:rPr>
          <w:lang w:eastAsia="en-AU"/>
        </w:rPr>
        <w:t xml:space="preserve"> </w:t>
      </w:r>
      <w:r w:rsidR="00164B37">
        <w:rPr>
          <w:lang w:eastAsia="en-AU"/>
        </w:rPr>
        <w:t xml:space="preserve">$3.8 billion and 31 projects </w:t>
      </w:r>
      <w:r w:rsidR="009473F6">
        <w:rPr>
          <w:lang w:eastAsia="en-AU"/>
        </w:rPr>
        <w:t xml:space="preserve">on </w:t>
      </w:r>
      <w:r w:rsidR="00164B37">
        <w:rPr>
          <w:lang w:eastAsia="en-AU"/>
        </w:rPr>
        <w:t>2022</w:t>
      </w:r>
      <w:r w:rsidR="00316D63" w:rsidRPr="00EA616B">
        <w:t>—</w:t>
      </w:r>
      <w:r w:rsidR="00164B37">
        <w:rPr>
          <w:lang w:eastAsia="en-AU"/>
        </w:rPr>
        <w:t>23.</w:t>
      </w:r>
    </w:p>
    <w:p w14:paraId="3ED8D330" w14:textId="43789DC1" w:rsidR="00287A04" w:rsidRDefault="00452786" w:rsidP="000E5AAF">
      <w:pPr>
        <w:pStyle w:val="BulletList"/>
        <w:rPr>
          <w:lang w:eastAsia="en-AU"/>
        </w:rPr>
      </w:pPr>
      <w:r w:rsidRPr="00452786">
        <w:rPr>
          <w:rFonts w:asciiTheme="majorHAnsi" w:hAnsiTheme="majorHAnsi"/>
          <w:color w:val="000000"/>
        </w:rPr>
        <w:t>$11.4 billion</w:t>
      </w:r>
      <w:r w:rsidRPr="00287A04">
        <w:rPr>
          <w:lang w:eastAsia="en-AU"/>
        </w:rPr>
        <w:t xml:space="preserve"> in </w:t>
      </w:r>
      <w:r>
        <w:rPr>
          <w:lang w:eastAsia="en-AU"/>
        </w:rPr>
        <w:t>a</w:t>
      </w:r>
      <w:r w:rsidR="00287A04">
        <w:rPr>
          <w:lang w:eastAsia="en-AU"/>
        </w:rPr>
        <w:t xml:space="preserve">ccommodation investment </w:t>
      </w:r>
      <w:r w:rsidR="00287A04" w:rsidRPr="00287A04">
        <w:rPr>
          <w:lang w:eastAsia="en-AU"/>
        </w:rPr>
        <w:t xml:space="preserve">across </w:t>
      </w:r>
      <w:r w:rsidR="00287A04">
        <w:rPr>
          <w:lang w:eastAsia="en-AU"/>
        </w:rPr>
        <w:t>164</w:t>
      </w:r>
      <w:r w:rsidR="00287A04" w:rsidRPr="00287A04">
        <w:rPr>
          <w:lang w:eastAsia="en-AU"/>
        </w:rPr>
        <w:t xml:space="preserve"> projects</w:t>
      </w:r>
      <w:r w:rsidR="00287A04">
        <w:rPr>
          <w:lang w:eastAsia="en-AU"/>
        </w:rPr>
        <w:t>, with 23,700 rooms</w:t>
      </w:r>
      <w:r w:rsidR="00287A04" w:rsidRPr="00287A04">
        <w:rPr>
          <w:lang w:eastAsia="en-AU"/>
        </w:rPr>
        <w:t xml:space="preserve">. This was </w:t>
      </w:r>
      <w:r w:rsidR="00C919FF">
        <w:rPr>
          <w:lang w:eastAsia="en-AU"/>
        </w:rPr>
        <w:t>5</w:t>
      </w:r>
      <w:r w:rsidR="00C919FF" w:rsidRPr="00287A04">
        <w:rPr>
          <w:lang w:eastAsia="en-AU"/>
        </w:rPr>
        <w:t xml:space="preserve"> additional projects</w:t>
      </w:r>
      <w:r w:rsidR="00C919FF">
        <w:rPr>
          <w:lang w:eastAsia="en-AU"/>
        </w:rPr>
        <w:t xml:space="preserve">, but </w:t>
      </w:r>
      <w:r w:rsidR="00287A04" w:rsidRPr="00287A04">
        <w:rPr>
          <w:lang w:eastAsia="en-AU"/>
        </w:rPr>
        <w:t>$</w:t>
      </w:r>
      <w:r w:rsidR="00287A04">
        <w:rPr>
          <w:lang w:eastAsia="en-AU"/>
        </w:rPr>
        <w:t xml:space="preserve">0.7 </w:t>
      </w:r>
      <w:r w:rsidR="00287A04" w:rsidRPr="00287A04">
        <w:rPr>
          <w:lang w:eastAsia="en-AU"/>
        </w:rPr>
        <w:t>billion</w:t>
      </w:r>
      <w:r w:rsidR="000A4707">
        <w:rPr>
          <w:lang w:eastAsia="en-AU"/>
        </w:rPr>
        <w:t xml:space="preserve">, and 700 </w:t>
      </w:r>
      <w:r w:rsidR="0028383C">
        <w:rPr>
          <w:lang w:eastAsia="en-AU"/>
        </w:rPr>
        <w:t xml:space="preserve">rooms </w:t>
      </w:r>
      <w:r w:rsidR="00287A04">
        <w:rPr>
          <w:lang w:eastAsia="en-AU"/>
        </w:rPr>
        <w:t>less</w:t>
      </w:r>
      <w:r w:rsidR="000A4707">
        <w:rPr>
          <w:lang w:eastAsia="en-AU"/>
        </w:rPr>
        <w:t xml:space="preserve"> than</w:t>
      </w:r>
      <w:r w:rsidR="00706D33">
        <w:rPr>
          <w:lang w:eastAsia="en-AU"/>
        </w:rPr>
        <w:t xml:space="preserve"> </w:t>
      </w:r>
      <w:r w:rsidR="0028383C">
        <w:rPr>
          <w:lang w:eastAsia="en-AU"/>
        </w:rPr>
        <w:t xml:space="preserve">in </w:t>
      </w:r>
      <w:r w:rsidR="000A4707" w:rsidRPr="00287A04">
        <w:rPr>
          <w:lang w:eastAsia="en-AU"/>
        </w:rPr>
        <w:t>2022</w:t>
      </w:r>
      <w:r w:rsidR="00316D63" w:rsidRPr="00EA616B">
        <w:t>—</w:t>
      </w:r>
      <w:r w:rsidR="000A4707" w:rsidRPr="00287A04">
        <w:rPr>
          <w:lang w:eastAsia="en-AU"/>
        </w:rPr>
        <w:t>23</w:t>
      </w:r>
      <w:r w:rsidR="00287A04" w:rsidRPr="00287A04">
        <w:rPr>
          <w:lang w:eastAsia="en-AU"/>
        </w:rPr>
        <w:t>.</w:t>
      </w:r>
    </w:p>
    <w:p w14:paraId="23DEC3A9" w14:textId="3C9C1264" w:rsidR="00240C5F" w:rsidRDefault="00C919FF" w:rsidP="004B1E68">
      <w:pPr>
        <w:rPr>
          <w:lang w:eastAsia="en-AU"/>
        </w:rPr>
      </w:pPr>
      <w:r>
        <w:rPr>
          <w:lang w:eastAsia="en-AU"/>
        </w:rPr>
        <w:t xml:space="preserve">Also, </w:t>
      </w:r>
      <w:r w:rsidR="00B10181">
        <w:rPr>
          <w:lang w:eastAsia="en-AU"/>
        </w:rPr>
        <w:t>m</w:t>
      </w:r>
      <w:r w:rsidR="00206A92">
        <w:rPr>
          <w:lang w:eastAsia="en-AU"/>
        </w:rPr>
        <w:t xml:space="preserve">ixed-use development investment was </w:t>
      </w:r>
      <w:r w:rsidR="00206A92" w:rsidRPr="00280DAF">
        <w:rPr>
          <w:rFonts w:asciiTheme="majorHAnsi" w:hAnsiTheme="majorHAnsi"/>
          <w:color w:val="000000"/>
        </w:rPr>
        <w:t>$</w:t>
      </w:r>
      <w:r w:rsidR="008B7A72">
        <w:rPr>
          <w:rFonts w:asciiTheme="majorHAnsi" w:hAnsiTheme="majorHAnsi"/>
          <w:color w:val="000000"/>
        </w:rPr>
        <w:t>85.3</w:t>
      </w:r>
      <w:r w:rsidR="00206A92" w:rsidRPr="00280DAF">
        <w:rPr>
          <w:rFonts w:asciiTheme="majorHAnsi" w:hAnsiTheme="majorHAnsi"/>
          <w:color w:val="000000"/>
        </w:rPr>
        <w:t xml:space="preserve"> billion</w:t>
      </w:r>
      <w:r w:rsidR="00206A92" w:rsidRPr="00287A04">
        <w:rPr>
          <w:lang w:eastAsia="en-AU"/>
        </w:rPr>
        <w:t xml:space="preserve"> in 2023</w:t>
      </w:r>
      <w:r w:rsidR="00316D63" w:rsidRPr="00EA616B">
        <w:t>—</w:t>
      </w:r>
      <w:r w:rsidR="00206A92" w:rsidRPr="00287A04">
        <w:rPr>
          <w:lang w:eastAsia="en-AU"/>
        </w:rPr>
        <w:t xml:space="preserve">24 across </w:t>
      </w:r>
      <w:r w:rsidR="008B7A72">
        <w:rPr>
          <w:lang w:eastAsia="en-AU"/>
        </w:rPr>
        <w:t>191</w:t>
      </w:r>
      <w:r w:rsidR="00206A92" w:rsidRPr="00287A04">
        <w:rPr>
          <w:lang w:eastAsia="en-AU"/>
        </w:rPr>
        <w:t xml:space="preserve"> projects</w:t>
      </w:r>
      <w:r w:rsidR="00206A92">
        <w:rPr>
          <w:lang w:eastAsia="en-AU"/>
        </w:rPr>
        <w:t xml:space="preserve">, with </w:t>
      </w:r>
      <w:r w:rsidR="008B7A72">
        <w:rPr>
          <w:lang w:eastAsia="en-AU"/>
        </w:rPr>
        <w:t>30,200</w:t>
      </w:r>
      <w:r w:rsidR="00206A92">
        <w:rPr>
          <w:lang w:eastAsia="en-AU"/>
        </w:rPr>
        <w:t xml:space="preserve"> rooms</w:t>
      </w:r>
      <w:r w:rsidR="00206A92" w:rsidRPr="00287A04">
        <w:rPr>
          <w:lang w:eastAsia="en-AU"/>
        </w:rPr>
        <w:t xml:space="preserve">. This was </w:t>
      </w:r>
      <w:r w:rsidR="009473F6">
        <w:rPr>
          <w:lang w:eastAsia="en-AU"/>
        </w:rPr>
        <w:t xml:space="preserve">an additional </w:t>
      </w:r>
      <w:r w:rsidR="00206A92" w:rsidRPr="00287A04">
        <w:rPr>
          <w:lang w:eastAsia="en-AU"/>
        </w:rPr>
        <w:t>$</w:t>
      </w:r>
      <w:r w:rsidR="008B7A72">
        <w:rPr>
          <w:lang w:eastAsia="en-AU"/>
        </w:rPr>
        <w:t>12.3</w:t>
      </w:r>
      <w:r w:rsidR="00206A92">
        <w:rPr>
          <w:lang w:eastAsia="en-AU"/>
        </w:rPr>
        <w:t xml:space="preserve"> </w:t>
      </w:r>
      <w:r w:rsidR="00206A92" w:rsidRPr="00287A04">
        <w:rPr>
          <w:lang w:eastAsia="en-AU"/>
        </w:rPr>
        <w:t>billion</w:t>
      </w:r>
      <w:r w:rsidR="00206A92">
        <w:rPr>
          <w:lang w:eastAsia="en-AU"/>
        </w:rPr>
        <w:t>,</w:t>
      </w:r>
      <w:r w:rsidR="000D6CB7">
        <w:rPr>
          <w:lang w:eastAsia="en-AU"/>
        </w:rPr>
        <w:t xml:space="preserve"> 17 projects, and 2,000 rooms on </w:t>
      </w:r>
      <w:r w:rsidR="000D6CB7" w:rsidRPr="00287A04">
        <w:rPr>
          <w:lang w:eastAsia="en-AU"/>
        </w:rPr>
        <w:t>2022</w:t>
      </w:r>
      <w:r w:rsidR="00316D63" w:rsidRPr="00EA616B">
        <w:t>—</w:t>
      </w:r>
      <w:r w:rsidR="000D6CB7" w:rsidRPr="00287A04">
        <w:rPr>
          <w:lang w:eastAsia="en-AU"/>
        </w:rPr>
        <w:t>23</w:t>
      </w:r>
      <w:r w:rsidR="00206A92" w:rsidRPr="00287A04">
        <w:rPr>
          <w:lang w:eastAsia="en-AU"/>
        </w:rPr>
        <w:t>.</w:t>
      </w:r>
    </w:p>
    <w:p w14:paraId="50CE6590" w14:textId="77777777" w:rsidR="00240C5F" w:rsidRPr="00287A04" w:rsidRDefault="00240C5F" w:rsidP="004B1E68">
      <w:pPr>
        <w:rPr>
          <w:lang w:eastAsia="en-AU"/>
        </w:rPr>
      </w:pPr>
    </w:p>
    <w:p w14:paraId="22D8A839" w14:textId="7618729D" w:rsidR="00C116E6" w:rsidRPr="00072B18" w:rsidRDefault="00C116E6" w:rsidP="00240C5F">
      <w:pPr>
        <w:keepNext/>
        <w:spacing w:before="360"/>
        <w:ind w:left="567" w:right="45"/>
        <w:rPr>
          <w:color w:val="893B94" w:themeColor="accent1"/>
          <w:sz w:val="28"/>
          <w:szCs w:val="28"/>
          <w:lang w:eastAsia="zh-CN"/>
        </w:rPr>
      </w:pPr>
      <w:r w:rsidRPr="00072B18">
        <w:rPr>
          <w:color w:val="893B94" w:themeColor="accent1"/>
          <w:sz w:val="28"/>
          <w:szCs w:val="28"/>
          <w:lang w:eastAsia="zh-CN"/>
        </w:rPr>
        <w:lastRenderedPageBreak/>
        <w:t>Case study</w:t>
      </w:r>
      <w:r w:rsidR="00072B18">
        <w:rPr>
          <w:color w:val="893B94" w:themeColor="accent1"/>
          <w:sz w:val="28"/>
          <w:szCs w:val="28"/>
          <w:lang w:eastAsia="zh-CN"/>
        </w:rPr>
        <w:t>:</w:t>
      </w:r>
      <w:r w:rsidRPr="00072B18">
        <w:rPr>
          <w:color w:val="893B94" w:themeColor="accent1"/>
          <w:sz w:val="28"/>
          <w:szCs w:val="28"/>
          <w:lang w:eastAsia="zh-CN"/>
        </w:rPr>
        <w:t xml:space="preserve"> </w:t>
      </w:r>
      <w:r w:rsidR="00E672A4">
        <w:rPr>
          <w:color w:val="893B94" w:themeColor="accent1"/>
          <w:sz w:val="28"/>
          <w:szCs w:val="28"/>
          <w:lang w:eastAsia="zh-CN"/>
        </w:rPr>
        <w:t>Tourism i</w:t>
      </w:r>
      <w:r w:rsidR="00E672A4" w:rsidRPr="00072B18">
        <w:rPr>
          <w:color w:val="893B94" w:themeColor="accent1"/>
          <w:sz w:val="28"/>
          <w:szCs w:val="28"/>
          <w:lang w:eastAsia="zh-CN"/>
        </w:rPr>
        <w:t>nfrastructur</w:t>
      </w:r>
      <w:r w:rsidR="00E672A4">
        <w:rPr>
          <w:color w:val="893B94" w:themeColor="accent1"/>
          <w:sz w:val="28"/>
          <w:szCs w:val="28"/>
          <w:lang w:eastAsia="zh-CN"/>
        </w:rPr>
        <w:t xml:space="preserve">e </w:t>
      </w:r>
      <w:r w:rsidR="00E672A4" w:rsidRPr="00072B18">
        <w:rPr>
          <w:color w:val="893B94" w:themeColor="accent1"/>
          <w:sz w:val="28"/>
          <w:szCs w:val="28"/>
          <w:lang w:eastAsia="zh-CN"/>
        </w:rPr>
        <w:t>–</w:t>
      </w:r>
      <w:r w:rsidR="00E672A4">
        <w:rPr>
          <w:color w:val="893B94" w:themeColor="accent1"/>
          <w:sz w:val="28"/>
          <w:szCs w:val="28"/>
          <w:lang w:eastAsia="zh-CN"/>
        </w:rPr>
        <w:t xml:space="preserve"> </w:t>
      </w:r>
      <w:r w:rsidR="00AC3126" w:rsidRPr="00072B18">
        <w:rPr>
          <w:color w:val="893B94" w:themeColor="accent1"/>
          <w:sz w:val="28"/>
          <w:szCs w:val="28"/>
          <w:lang w:eastAsia="zh-CN"/>
        </w:rPr>
        <w:t>Phillip Island Nature Parks</w:t>
      </w:r>
    </w:p>
    <w:p w14:paraId="1C3E1CA5" w14:textId="77777777" w:rsidR="00AC3126" w:rsidRPr="00072B18" w:rsidRDefault="00AC3126" w:rsidP="00072B18">
      <w:pPr>
        <w:ind w:left="567" w:right="45"/>
        <w:rPr>
          <w:lang w:val="en-US" w:eastAsia="zh-CN"/>
        </w:rPr>
      </w:pPr>
      <w:r w:rsidRPr="00072B18">
        <w:rPr>
          <w:lang w:val="en-US" w:eastAsia="zh-CN"/>
        </w:rPr>
        <w:t xml:space="preserve">The Victorian Government is supporting sustainable growth in Victoria’s tourism sector by investing in infrastructure projects that encourage year-round visitation and improve customer experiences. In 2023, the Victorian Government launched the Experience Victoria 2033 (EV33) plan which outlines continued work towards sustainable destinations, quality experiences and growth in the visitor economy. </w:t>
      </w:r>
    </w:p>
    <w:p w14:paraId="15DDB033" w14:textId="17F0AD93" w:rsidR="00AC3126" w:rsidRPr="00072B18" w:rsidRDefault="00AC3126" w:rsidP="00072B18">
      <w:pPr>
        <w:ind w:left="567" w:right="45"/>
        <w:rPr>
          <w:lang w:val="en-US" w:eastAsia="zh-CN"/>
        </w:rPr>
      </w:pPr>
      <w:r w:rsidRPr="00072B18">
        <w:rPr>
          <w:lang w:val="en-US" w:eastAsia="zh-CN"/>
        </w:rPr>
        <w:t xml:space="preserve">Phillip Island Nature Parks received $5 million grant funding through the Regional Tourism Investment Fund to undertake major infrastructure upgrades at the Penguin Parade located at Phillip Island. The grant supported the delivery of a new, compliant, all-accessible, looped boardwalk, added seating and upgraded the </w:t>
      </w:r>
      <w:r w:rsidR="00B07D41">
        <w:rPr>
          <w:lang w:val="en-US" w:eastAsia="zh-CN"/>
        </w:rPr>
        <w:t xml:space="preserve">‘Penguins Plus’ </w:t>
      </w:r>
      <w:r w:rsidRPr="00072B18">
        <w:rPr>
          <w:lang w:val="en-US" w:eastAsia="zh-CN"/>
        </w:rPr>
        <w:t xml:space="preserve">viewing stand for safety compliance and accessibility. The boardwalk is constructed of fibre reinforced polymer panels and erected on a raised footing to reduce impacts on vegetation and conserve penguin burrows. </w:t>
      </w:r>
    </w:p>
    <w:p w14:paraId="74BD483A" w14:textId="77777777" w:rsidR="00AC3126" w:rsidRPr="00072B18" w:rsidRDefault="00AC3126" w:rsidP="00072B18">
      <w:pPr>
        <w:ind w:left="567" w:right="45"/>
        <w:rPr>
          <w:lang w:val="en-US" w:eastAsia="zh-CN"/>
        </w:rPr>
      </w:pPr>
      <w:r w:rsidRPr="00072B18">
        <w:rPr>
          <w:lang w:val="en-US" w:eastAsia="zh-CN"/>
        </w:rPr>
        <w:t xml:space="preserve">The works were underpinned by the Summerland Peninsula Master Plan (2012), which identified coastal erosion and ageing infrastructure as factors affecting the quality of the customer experience and ongoing financial sustainability of nature parks. </w:t>
      </w:r>
    </w:p>
    <w:p w14:paraId="7CAC668B" w14:textId="77777777" w:rsidR="00AC3126" w:rsidRPr="00072B18" w:rsidRDefault="00AC3126" w:rsidP="00072B18">
      <w:pPr>
        <w:ind w:left="567" w:right="45"/>
        <w:rPr>
          <w:lang w:val="en-US" w:eastAsia="zh-CN"/>
        </w:rPr>
      </w:pPr>
      <w:r w:rsidRPr="00072B18">
        <w:rPr>
          <w:lang w:val="en-US" w:eastAsia="zh-CN"/>
        </w:rPr>
        <w:t xml:space="preserve">The redevelopment provides visitors of all abilities better access to the penguin-viewing stands. It improves visitor flow, increases capacity, and creates a closer view of the little penguins returning home each evening. </w:t>
      </w:r>
    </w:p>
    <w:p w14:paraId="70903B47" w14:textId="715900D3" w:rsidR="00C116E6" w:rsidRPr="00072B18" w:rsidRDefault="00C116E6" w:rsidP="00AC3126">
      <w:pPr>
        <w:spacing w:before="0" w:after="160" w:line="259" w:lineRule="auto"/>
        <w:ind w:left="720"/>
        <w:rPr>
          <w:color w:val="893B94" w:themeColor="accent1"/>
          <w:sz w:val="28"/>
          <w:szCs w:val="28"/>
          <w:lang w:eastAsia="zh-CN"/>
        </w:rPr>
      </w:pPr>
      <w:r w:rsidRPr="00072B18">
        <w:rPr>
          <w:color w:val="893B94" w:themeColor="accent1"/>
          <w:sz w:val="28"/>
          <w:szCs w:val="28"/>
          <w:lang w:eastAsia="zh-CN"/>
        </w:rPr>
        <w:t xml:space="preserve">Case study provided by </w:t>
      </w:r>
      <w:r w:rsidR="00AC3126" w:rsidRPr="00072B18">
        <w:rPr>
          <w:color w:val="893B94" w:themeColor="accent1"/>
          <w:sz w:val="28"/>
          <w:szCs w:val="28"/>
          <w:lang w:eastAsia="zh-CN"/>
        </w:rPr>
        <w:t>Department of Jobs, Skills, Industry and Regions (Victoria)</w:t>
      </w:r>
    </w:p>
    <w:p w14:paraId="1AA51B95" w14:textId="2BF85FD1" w:rsidR="00F10B2F" w:rsidRDefault="00F10B2F" w:rsidP="00807609">
      <w:pPr>
        <w:pStyle w:val="Heading2"/>
        <w:spacing w:before="600"/>
      </w:pPr>
      <w:bookmarkStart w:id="26" w:name="_Toc200703627"/>
      <w:r>
        <w:t>Looking forward</w:t>
      </w:r>
      <w:bookmarkEnd w:id="26"/>
    </w:p>
    <w:p w14:paraId="0C48BDFE" w14:textId="77777777" w:rsidR="00E43595" w:rsidRDefault="00E43595" w:rsidP="00E43595">
      <w:pPr>
        <w:pStyle w:val="Heading3"/>
      </w:pPr>
      <w:bookmarkStart w:id="27" w:name="_Toc200703628"/>
      <w:r>
        <w:t>The future of Australia’s visitor economy</w:t>
      </w:r>
      <w:bookmarkEnd w:id="27"/>
    </w:p>
    <w:p w14:paraId="1B38F528" w14:textId="408A14B2" w:rsidR="00493CC9" w:rsidRDefault="00493CC9" w:rsidP="00493CC9">
      <w:pPr>
        <w:pStyle w:val="Heading4"/>
      </w:pPr>
      <w:r w:rsidRPr="00903A83">
        <w:t>Global travel in 2024 sees recovery rates vary by region</w:t>
      </w:r>
    </w:p>
    <w:p w14:paraId="7321D2A0" w14:textId="77777777" w:rsidR="00493CC9" w:rsidRPr="002705BB" w:rsidRDefault="00493CC9" w:rsidP="00493CC9">
      <w:r w:rsidRPr="002705BB">
        <w:t>Global international arrivals almost returned to pre-pandemic numbers in 2024</w:t>
      </w:r>
      <w:r>
        <w:rPr>
          <w:rStyle w:val="FootnoteReference"/>
        </w:rPr>
        <w:footnoteReference w:id="3"/>
      </w:r>
      <w:r w:rsidRPr="002705BB">
        <w:t>. By region, the Middle East was most recovered at 134%, followed by Africa at 108%, and then Europe at 101%. The Americas were yet to recover at 98%, while Asia and the Pacific was at 88%.</w:t>
      </w:r>
    </w:p>
    <w:p w14:paraId="739A2ED2" w14:textId="77777777" w:rsidR="00493CC9" w:rsidRPr="002705BB" w:rsidRDefault="00493CC9" w:rsidP="00493CC9">
      <w:r w:rsidRPr="002705BB">
        <w:t xml:space="preserve">Europe remained the largest destination for international travel globally, with 747 million tourist arrivals in 2024. However, the war in Ukraine has contributed to the slower recovery in the region, which remained at 81% of pre pandemic levels in 2024. </w:t>
      </w:r>
    </w:p>
    <w:p w14:paraId="7D03214D" w14:textId="77777777" w:rsidR="00493CC9" w:rsidRPr="002705BB" w:rsidRDefault="00493CC9" w:rsidP="00493CC9">
      <w:r w:rsidRPr="002705BB">
        <w:t>Across the globe, domestic travel typically recovered quicker than international travel. For international travel, there were stronger rebounds in short-haul travel than long-haul travel.</w:t>
      </w:r>
    </w:p>
    <w:p w14:paraId="7C218047" w14:textId="77777777" w:rsidR="00493CC9" w:rsidRPr="002705BB" w:rsidRDefault="00493CC9" w:rsidP="00493CC9">
      <w:r w:rsidRPr="002705BB">
        <w:lastRenderedPageBreak/>
        <w:t>In the post-pandemic period, some destinations have made visas easier to access and implemented policies to attract hybrid working-travellers. On the other hand, some destinations that risk over-tourism have imposed additional tourist taxes to try to slow growth for sustainability reasons.</w:t>
      </w:r>
    </w:p>
    <w:p w14:paraId="6F1B3744" w14:textId="77777777" w:rsidR="00493CC9" w:rsidRDefault="00493CC9" w:rsidP="00493CC9">
      <w:pPr>
        <w:pStyle w:val="Heading4"/>
      </w:pPr>
      <w:r w:rsidRPr="003728DB">
        <w:t>Travel trends impact future demand and offerings</w:t>
      </w:r>
    </w:p>
    <w:p w14:paraId="022423D1" w14:textId="14C5CB92" w:rsidR="00493CC9" w:rsidRDefault="00493CC9" w:rsidP="00493CC9">
      <w:r w:rsidRPr="00815516">
        <w:t xml:space="preserve">Agritourism, one trend that saw an increase in 2024, is expected to </w:t>
      </w:r>
      <w:r w:rsidR="009729E6">
        <w:t xml:space="preserve">continue to </w:t>
      </w:r>
      <w:r w:rsidRPr="00815516">
        <w:t>grow in 2025, with travellers looking for authentic experiences that provide a new way of engaging with the environment. This is line with a growing focus on sustainable and regenerative travel over the past several years. Travellers have also engaged more with First Nations experiences. Wellness tourism, staycations and ‘bleisure’ travel (mixing leisure with business) remained popular.</w:t>
      </w:r>
    </w:p>
    <w:p w14:paraId="25AFDE40" w14:textId="29CA8E8E" w:rsidR="00FF3EF9" w:rsidRPr="00FF3EF9" w:rsidRDefault="00493CC9" w:rsidP="00FF3EF9">
      <w:r w:rsidRPr="00815516">
        <w:t xml:space="preserve">Australia is in a favourable position to capitalise on these trends in coming years. These varieties of tourism support the diversity of experiences across our regions and many facets of the visitor economy. They also promote sustainable growth of tourism. </w:t>
      </w:r>
    </w:p>
    <w:p w14:paraId="4162D17E" w14:textId="14D57AAC" w:rsidR="00642F7D" w:rsidRDefault="00642F7D" w:rsidP="00642F7D">
      <w:pPr>
        <w:pStyle w:val="Heading3"/>
      </w:pPr>
      <w:bookmarkStart w:id="28" w:name="_Toc200703629"/>
      <w:r>
        <w:t>International outlook</w:t>
      </w:r>
      <w:bookmarkEnd w:id="28"/>
    </w:p>
    <w:p w14:paraId="064C7B79" w14:textId="267CB2A6" w:rsidR="00005219" w:rsidRDefault="0016635D" w:rsidP="00005219">
      <w:r w:rsidRPr="001459C3">
        <w:t>Australia, renowned for its world-famous attractions and natural beauty, has long been a popular destination for international visitors. The</w:t>
      </w:r>
      <w:r>
        <w:t xml:space="preserve"> </w:t>
      </w:r>
      <w:r w:rsidR="00CF137B">
        <w:t xml:space="preserve">outlook for future growth in international arrivals is positive. </w:t>
      </w:r>
      <w:r w:rsidR="00005219">
        <w:t>The n</w:t>
      </w:r>
      <w:r w:rsidR="00005219" w:rsidRPr="00005219">
        <w:t xml:space="preserve">umber of international visitor arrivals in 2029 </w:t>
      </w:r>
      <w:r w:rsidR="00005219">
        <w:t xml:space="preserve">is </w:t>
      </w:r>
      <w:r w:rsidR="00005219" w:rsidRPr="00005219">
        <w:t>expected</w:t>
      </w:r>
      <w:r w:rsidR="00005219">
        <w:t xml:space="preserve"> to reach 11.8 million</w:t>
      </w:r>
      <w:r w:rsidR="00005219" w:rsidRPr="00005219">
        <w:t>, an increase of 40% from 2024</w:t>
      </w:r>
      <w:r w:rsidR="00005219">
        <w:t xml:space="preserve">. </w:t>
      </w:r>
      <w:r w:rsidR="00005219" w:rsidRPr="005F352A">
        <w:t>International visitor expenditure in Australia by those on short-term visits of less than 12 months</w:t>
      </w:r>
      <w:r w:rsidR="00005219">
        <w:t xml:space="preserve"> is </w:t>
      </w:r>
      <w:r w:rsidR="00005219" w:rsidRPr="005F352A">
        <w:t xml:space="preserve">forecast to increase </w:t>
      </w:r>
      <w:r w:rsidR="00005219">
        <w:t xml:space="preserve">at </w:t>
      </w:r>
      <w:r w:rsidR="00005219" w:rsidRPr="005F352A">
        <w:t>annual average growth of 8% over the</w:t>
      </w:r>
      <w:r w:rsidR="00005219">
        <w:t xml:space="preserve"> next years to reach </w:t>
      </w:r>
      <w:r w:rsidR="00005219" w:rsidRPr="005F352A">
        <w:t>$48.5</w:t>
      </w:r>
      <w:r w:rsidR="00005219">
        <w:t> </w:t>
      </w:r>
      <w:r w:rsidR="00005219" w:rsidRPr="005F352A">
        <w:t>billion in 2029</w:t>
      </w:r>
      <w:r w:rsidR="00005219">
        <w:t xml:space="preserve"> (from $32.9 billion in 2024).</w:t>
      </w:r>
    </w:p>
    <w:p w14:paraId="0B25C75B" w14:textId="55DB0E74" w:rsidR="0016635D" w:rsidRPr="001459C3" w:rsidRDefault="00CF137B" w:rsidP="002D7640">
      <w:pPr>
        <w:spacing w:after="120"/>
      </w:pPr>
      <w:r>
        <w:t>The</w:t>
      </w:r>
      <w:r w:rsidR="0016635D" w:rsidRPr="001459C3">
        <w:t xml:space="preserve"> strong international growth outlook acknowledges: </w:t>
      </w:r>
    </w:p>
    <w:p w14:paraId="435D94A6" w14:textId="77777777" w:rsidR="001459C3" w:rsidRPr="001459C3" w:rsidRDefault="001459C3" w:rsidP="00163586">
      <w:pPr>
        <w:numPr>
          <w:ilvl w:val="0"/>
          <w:numId w:val="8"/>
        </w:numPr>
        <w:spacing w:before="120" w:after="120"/>
        <w:ind w:left="714" w:hanging="357"/>
      </w:pPr>
      <w:r w:rsidRPr="001459C3">
        <w:t xml:space="preserve">Australia’s enduring reputation as a safe, clean, green, friendly and aspirational travel destination </w:t>
      </w:r>
    </w:p>
    <w:p w14:paraId="781C6CAF" w14:textId="77777777" w:rsidR="001459C3" w:rsidRPr="001459C3" w:rsidRDefault="001459C3" w:rsidP="00163586">
      <w:pPr>
        <w:numPr>
          <w:ilvl w:val="0"/>
          <w:numId w:val="8"/>
        </w:numPr>
        <w:spacing w:before="120" w:after="120"/>
        <w:ind w:left="714" w:hanging="357"/>
      </w:pPr>
      <w:r w:rsidRPr="001459C3">
        <w:t xml:space="preserve">the prevalence of sustainable, accessible, cultural, sporting and experience tourism offerings and availability of work-travel combination options – which are all growth opportunities for the visitor economy </w:t>
      </w:r>
    </w:p>
    <w:p w14:paraId="7582613E" w14:textId="77777777" w:rsidR="001459C3" w:rsidRPr="001459C3" w:rsidRDefault="001459C3" w:rsidP="00163586">
      <w:pPr>
        <w:numPr>
          <w:ilvl w:val="0"/>
          <w:numId w:val="8"/>
        </w:numPr>
        <w:spacing w:before="120" w:after="120"/>
        <w:ind w:left="714" w:hanging="357"/>
      </w:pPr>
      <w:r w:rsidRPr="001459C3">
        <w:t>close and growing ties between Australia and several high-growth markets in our region</w:t>
      </w:r>
    </w:p>
    <w:p w14:paraId="25D9887A" w14:textId="77777777" w:rsidR="001459C3" w:rsidRPr="001459C3" w:rsidRDefault="001459C3" w:rsidP="00163586">
      <w:pPr>
        <w:numPr>
          <w:ilvl w:val="0"/>
          <w:numId w:val="8"/>
        </w:numPr>
        <w:spacing w:before="120" w:after="120"/>
        <w:ind w:left="714" w:hanging="357"/>
      </w:pPr>
      <w:r w:rsidRPr="001459C3">
        <w:t>continued gradual increases to aviation capacity, including from key emerging and growth markets</w:t>
      </w:r>
    </w:p>
    <w:p w14:paraId="25557B07" w14:textId="290B4085" w:rsidR="0016635D" w:rsidRDefault="00CF137B" w:rsidP="002D7640">
      <w:pPr>
        <w:spacing w:after="120"/>
      </w:pPr>
      <w:r>
        <w:t>However, there remain some considerable risks to the outlook, such as:</w:t>
      </w:r>
    </w:p>
    <w:p w14:paraId="2B05BE27" w14:textId="77777777" w:rsidR="004D26CF" w:rsidRPr="004D26CF" w:rsidRDefault="004D26CF" w:rsidP="00163586">
      <w:pPr>
        <w:numPr>
          <w:ilvl w:val="0"/>
          <w:numId w:val="9"/>
        </w:numPr>
        <w:spacing w:before="120" w:after="120"/>
        <w:ind w:left="714" w:hanging="357"/>
      </w:pPr>
      <w:r w:rsidRPr="004D26CF">
        <w:t>Reduced confidence regarding international travel due to geopolitical risks, global conflicts and other major factors including climate change</w:t>
      </w:r>
    </w:p>
    <w:p w14:paraId="165CAD72" w14:textId="77777777" w:rsidR="004D26CF" w:rsidRPr="004D26CF" w:rsidRDefault="004D26CF" w:rsidP="00163586">
      <w:pPr>
        <w:numPr>
          <w:ilvl w:val="0"/>
          <w:numId w:val="9"/>
        </w:numPr>
        <w:spacing w:before="120" w:after="120"/>
        <w:ind w:left="714" w:hanging="357"/>
      </w:pPr>
      <w:r w:rsidRPr="004D26CF">
        <w:t>Slower global economic growth, elevated inflation and interest rates, and tight household budgets around the world</w:t>
      </w:r>
    </w:p>
    <w:p w14:paraId="7C76A8A1" w14:textId="77777777" w:rsidR="004D26CF" w:rsidRPr="004D26CF" w:rsidRDefault="004D26CF" w:rsidP="00163586">
      <w:pPr>
        <w:numPr>
          <w:ilvl w:val="0"/>
          <w:numId w:val="9"/>
        </w:numPr>
        <w:spacing w:before="120" w:after="120"/>
        <w:ind w:left="714" w:hanging="357"/>
      </w:pPr>
      <w:r w:rsidRPr="004D26CF">
        <w:t>Policy changes that reduce the attractiveness or competitiveness of Australia relative to other international destinations</w:t>
      </w:r>
    </w:p>
    <w:p w14:paraId="52FBD29F" w14:textId="67F9AF80" w:rsidR="00BD22FA" w:rsidRPr="00BD22FA" w:rsidRDefault="009B1DFD" w:rsidP="00BD22FA">
      <w:r>
        <w:t xml:space="preserve">By market, the growth outlook varies somewhat. </w:t>
      </w:r>
      <w:r w:rsidR="00BD22FA" w:rsidRPr="00BD22FA">
        <w:t>In 2029, Southeast Asia collectively is forecast to be the largest overall source market for Australia, with almost 2 million arrivals</w:t>
      </w:r>
      <w:r w:rsidR="00731E99">
        <w:t xml:space="preserve"> (Figure </w:t>
      </w:r>
      <w:r w:rsidR="001B2D79">
        <w:t>27</w:t>
      </w:r>
      <w:r w:rsidR="00731E99">
        <w:t>)</w:t>
      </w:r>
      <w:r w:rsidR="00BD22FA" w:rsidRPr="00BD22FA">
        <w:t xml:space="preserve">. </w:t>
      </w:r>
    </w:p>
    <w:p w14:paraId="21CC0610" w14:textId="77777777" w:rsidR="00BD22FA" w:rsidRPr="00BD22FA" w:rsidRDefault="00BD22FA" w:rsidP="00807609">
      <w:r w:rsidRPr="00BD22FA">
        <w:lastRenderedPageBreak/>
        <w:t>In the 5 years to 2029, arrivals from China are forecast to almost double, reaching 1.7 million. This will see China regain its rank as Australia’s largest single inbound market. China has already regained its place as Australia’s leading market in terms of spend in Australia.</w:t>
      </w:r>
    </w:p>
    <w:p w14:paraId="2B1167A9" w14:textId="77777777" w:rsidR="00BD22FA" w:rsidRDefault="00BD22FA" w:rsidP="00807609">
      <w:r w:rsidRPr="00BD22FA">
        <w:t>Australia’s inbound visitor mix is already more diverse than in the past. By 2029, there are expected to be large increases in arrivals from New Zealand (291,000), the United States (265,000), Japan (219,000), Malaysia (184,000), and India (175,000) as well as from other countries (248,000) which includes the South Pacific, Africa and the Middle East.</w:t>
      </w:r>
    </w:p>
    <w:p w14:paraId="02396F46" w14:textId="2B35C565" w:rsidR="00BD22FA" w:rsidRDefault="00D474D6" w:rsidP="00D474D6">
      <w:pPr>
        <w:pStyle w:val="ListBullet"/>
        <w:keepNext/>
        <w:numPr>
          <w:ilvl w:val="0"/>
          <w:numId w:val="0"/>
        </w:numPr>
        <w:spacing w:line="300" w:lineRule="atLeast"/>
        <w:rPr>
          <w:rFonts w:ascii="Verdana" w:eastAsiaTheme="minorHAnsi" w:hAnsi="Verdana"/>
          <w:color w:val="300050" w:themeColor="text2"/>
          <w:lang w:eastAsia="en-US"/>
        </w:rPr>
      </w:pPr>
      <w:r>
        <w:rPr>
          <w:rFonts w:ascii="Verdana" w:eastAsiaTheme="minorHAnsi" w:hAnsi="Verdana"/>
          <w:b/>
          <w:bCs/>
          <w:color w:val="300050" w:themeColor="text2"/>
          <w:lang w:eastAsia="en-US"/>
        </w:rPr>
        <w:t xml:space="preserve">Figure </w:t>
      </w:r>
      <w:r>
        <w:rPr>
          <w:rFonts w:ascii="Verdana" w:eastAsiaTheme="minorHAnsi" w:hAnsi="Verdana"/>
          <w:b/>
          <w:bCs/>
          <w:color w:val="300050" w:themeColor="text2"/>
          <w:lang w:eastAsia="en-US"/>
        </w:rPr>
        <w:fldChar w:fldCharType="begin"/>
      </w:r>
      <w:r>
        <w:rPr>
          <w:rFonts w:ascii="Verdana" w:eastAsiaTheme="minorHAnsi" w:hAnsi="Verdana"/>
          <w:b/>
          <w:bCs/>
          <w:color w:val="300050" w:themeColor="text2"/>
          <w:lang w:eastAsia="en-US"/>
        </w:rPr>
        <w:instrText xml:space="preserve"> SEQ Figure \* ARABIC </w:instrText>
      </w:r>
      <w:r>
        <w:rPr>
          <w:rFonts w:ascii="Verdana" w:eastAsiaTheme="minorHAnsi" w:hAnsi="Verdana"/>
          <w:b/>
          <w:bCs/>
          <w:color w:val="300050" w:themeColor="text2"/>
          <w:lang w:eastAsia="en-US"/>
        </w:rPr>
        <w:fldChar w:fldCharType="separate"/>
      </w:r>
      <w:r w:rsidR="001B2D79">
        <w:rPr>
          <w:rFonts w:ascii="Verdana" w:eastAsiaTheme="minorHAnsi" w:hAnsi="Verdana"/>
          <w:b/>
          <w:bCs/>
          <w:noProof/>
          <w:color w:val="300050" w:themeColor="text2"/>
          <w:lang w:eastAsia="en-US"/>
        </w:rPr>
        <w:t>27</w:t>
      </w:r>
      <w:r>
        <w:rPr>
          <w:rFonts w:ascii="Verdana" w:eastAsiaTheme="minorHAnsi" w:hAnsi="Verdana"/>
          <w:b/>
          <w:bCs/>
          <w:color w:val="300050" w:themeColor="text2"/>
          <w:lang w:eastAsia="en-US"/>
        </w:rPr>
        <w:fldChar w:fldCharType="end"/>
      </w:r>
      <w:r>
        <w:rPr>
          <w:rFonts w:ascii="Verdana" w:eastAsiaTheme="minorHAnsi" w:hAnsi="Verdana"/>
          <w:b/>
          <w:bCs/>
          <w:color w:val="300050" w:themeColor="text2"/>
          <w:lang w:eastAsia="en-US"/>
        </w:rPr>
        <w:t>.</w:t>
      </w:r>
      <w:r>
        <w:rPr>
          <w:b/>
          <w:bCs/>
          <w:i/>
          <w:iCs/>
        </w:rPr>
        <w:t xml:space="preserve"> </w:t>
      </w:r>
      <w:r w:rsidR="004116B2">
        <w:rPr>
          <w:rFonts w:ascii="Verdana" w:eastAsiaTheme="minorHAnsi" w:hAnsi="Verdana"/>
          <w:color w:val="300050" w:themeColor="text2"/>
          <w:lang w:eastAsia="en-US"/>
        </w:rPr>
        <w:t>International visitor arrivals</w:t>
      </w:r>
      <w:r w:rsidR="000D35F6">
        <w:rPr>
          <w:rFonts w:ascii="Verdana" w:eastAsiaTheme="minorHAnsi" w:hAnsi="Verdana"/>
          <w:color w:val="300050" w:themeColor="text2"/>
          <w:lang w:eastAsia="en-US"/>
        </w:rPr>
        <w:t xml:space="preserve"> to Australia </w:t>
      </w:r>
      <w:r>
        <w:rPr>
          <w:rFonts w:ascii="Verdana" w:eastAsiaTheme="minorHAnsi" w:hAnsi="Verdana"/>
          <w:color w:val="300050" w:themeColor="text2"/>
          <w:lang w:eastAsia="en-US"/>
        </w:rPr>
        <w:t xml:space="preserve">by </w:t>
      </w:r>
      <w:r w:rsidR="000D35F6">
        <w:rPr>
          <w:rFonts w:ascii="Verdana" w:eastAsiaTheme="minorHAnsi" w:hAnsi="Verdana"/>
          <w:color w:val="300050" w:themeColor="text2"/>
          <w:lang w:eastAsia="en-US"/>
        </w:rPr>
        <w:t xml:space="preserve">source market </w:t>
      </w:r>
      <w:r>
        <w:rPr>
          <w:rFonts w:ascii="Verdana" w:eastAsiaTheme="minorHAnsi" w:hAnsi="Verdana"/>
          <w:color w:val="300050" w:themeColor="text2"/>
          <w:lang w:eastAsia="en-US"/>
        </w:rPr>
        <w:t>in 2024</w:t>
      </w:r>
      <w:r w:rsidR="00B254C4">
        <w:rPr>
          <w:rFonts w:ascii="Verdana" w:eastAsiaTheme="minorHAnsi" w:hAnsi="Verdana"/>
          <w:color w:val="300050" w:themeColor="text2"/>
          <w:lang w:eastAsia="en-US"/>
        </w:rPr>
        <w:t xml:space="preserve"> (000</w:t>
      </w:r>
      <w:r w:rsidR="00FA0778">
        <w:rPr>
          <w:rFonts w:ascii="Verdana" w:eastAsiaTheme="minorHAnsi" w:hAnsi="Verdana"/>
          <w:color w:val="300050" w:themeColor="text2"/>
          <w:lang w:eastAsia="en-US"/>
        </w:rPr>
        <w:t>) and</w:t>
      </w:r>
      <w:r>
        <w:rPr>
          <w:rFonts w:ascii="Verdana" w:eastAsiaTheme="minorHAnsi" w:hAnsi="Verdana"/>
          <w:color w:val="300050" w:themeColor="text2"/>
          <w:lang w:eastAsia="en-US"/>
        </w:rPr>
        <w:t xml:space="preserve"> </w:t>
      </w:r>
      <w:r w:rsidR="000D35F6">
        <w:rPr>
          <w:rFonts w:ascii="Verdana" w:eastAsiaTheme="minorHAnsi" w:hAnsi="Verdana"/>
          <w:color w:val="300050" w:themeColor="text2"/>
          <w:lang w:eastAsia="en-US"/>
        </w:rPr>
        <w:t xml:space="preserve">forecast arrivals in 2029 </w:t>
      </w:r>
      <w:r w:rsidR="00B254C4">
        <w:rPr>
          <w:rFonts w:ascii="Verdana" w:eastAsiaTheme="minorHAnsi" w:hAnsi="Verdana"/>
          <w:color w:val="300050" w:themeColor="text2"/>
          <w:lang w:eastAsia="en-US"/>
        </w:rPr>
        <w:t>(000)</w:t>
      </w:r>
      <w:r>
        <w:rPr>
          <w:rFonts w:ascii="Verdana" w:eastAsiaTheme="minorHAnsi" w:hAnsi="Verdana"/>
          <w:color w:val="300050" w:themeColor="text2"/>
          <w:lang w:eastAsia="en-US"/>
        </w:rPr>
        <w:t>.</w:t>
      </w:r>
    </w:p>
    <w:p w14:paraId="1F29BBE6" w14:textId="7D40246C" w:rsidR="00460371" w:rsidRDefault="00460371" w:rsidP="008C288E">
      <w:pPr>
        <w:pStyle w:val="ListBullet"/>
        <w:keepNext/>
        <w:numPr>
          <w:ilvl w:val="0"/>
          <w:numId w:val="0"/>
        </w:numPr>
        <w:spacing w:line="300" w:lineRule="atLeast"/>
        <w:jc w:val="center"/>
      </w:pPr>
      <w:r w:rsidRPr="00460371">
        <w:rPr>
          <w:noProof/>
        </w:rPr>
        <w:drawing>
          <wp:inline distT="0" distB="0" distL="0" distR="0" wp14:anchorId="02507FA9" wp14:editId="464CB1AD">
            <wp:extent cx="6057900" cy="4287712"/>
            <wp:effectExtent l="0" t="0" r="0" b="0"/>
            <wp:docPr id="610705219" name="Picture 8" descr="This bar chart shows the number of arrivals for Australia’s 20 largest source markets in 2024, and the additional arrivals forecast for each source market in 2029. The total number of arrivals forecast in 2029 for each source market is written at the end of the bar. The bars are ordered so the largest source markets are shown at the top (Southeast Asia (the combined total of 11 Southeast Asian nations), New Zealand and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05219" name="Picture 8" descr="This bar chart shows the number of arrivals for Australia’s 20 largest source markets in 2024, and the additional arrivals forecast for each source market in 2029. The total number of arrivals forecast in 2029 for each source market is written at the end of the bar. The bars are ordered so the largest source markets are shown at the top (Southeast Asia (the combined total of 11 Southeast Asian nations), New Zealand and China)."/>
                    <pic:cNvPicPr>
                      <a:picLocks noChangeAspect="1" noChangeArrowheads="1"/>
                    </pic:cNvPicPr>
                  </pic:nvPicPr>
                  <pic:blipFill rotWithShape="1">
                    <a:blip r:embed="rId47">
                      <a:extLst>
                        <a:ext uri="{28A0092B-C50C-407E-A947-70E740481C1C}">
                          <a14:useLocalDpi xmlns:a14="http://schemas.microsoft.com/office/drawing/2010/main" val="0"/>
                        </a:ext>
                      </a:extLst>
                    </a:blip>
                    <a:srcRect l="37188" t="23333" r="1875"/>
                    <a:stretch/>
                  </pic:blipFill>
                  <pic:spPr bwMode="auto">
                    <a:xfrm>
                      <a:off x="0" y="0"/>
                      <a:ext cx="6059379" cy="4288759"/>
                    </a:xfrm>
                    <a:prstGeom prst="rect">
                      <a:avLst/>
                    </a:prstGeom>
                    <a:noFill/>
                    <a:ln>
                      <a:noFill/>
                    </a:ln>
                    <a:extLst>
                      <a:ext uri="{53640926-AAD7-44D8-BBD7-CCE9431645EC}">
                        <a14:shadowObscured xmlns:a14="http://schemas.microsoft.com/office/drawing/2010/main"/>
                      </a:ext>
                    </a:extLst>
                  </pic:spPr>
                </pic:pic>
              </a:graphicData>
            </a:graphic>
          </wp:inline>
        </w:drawing>
      </w:r>
    </w:p>
    <w:p w14:paraId="2DFFE564" w14:textId="628BFFBD" w:rsidR="003A7F35" w:rsidRPr="003A7F35" w:rsidRDefault="003A7F35" w:rsidP="002719DD">
      <w:pPr>
        <w:spacing w:line="300" w:lineRule="atLeast"/>
      </w:pPr>
      <w:r>
        <w:t xml:space="preserve">The positive outlook continues into the next decade as </w:t>
      </w:r>
      <w:r w:rsidR="002719DD" w:rsidRPr="003A7F35">
        <w:t xml:space="preserve">Australia is set to host one of the biggest global events in 2032, the Olympic and Paralympic games. Historically, host nations have seen an enormous lift in visitor economy contributions </w:t>
      </w:r>
      <w:r w:rsidR="002719DD">
        <w:t xml:space="preserve">and a positive economic boost </w:t>
      </w:r>
      <w:r w:rsidR="002719DD" w:rsidRPr="003A7F35">
        <w:t xml:space="preserve">because of these events. </w:t>
      </w:r>
      <w:r w:rsidRPr="003A7F35">
        <w:t xml:space="preserve">In 2021, KPMG Australia predicted the socio-economic benefits of the Olympics to the Australian economy could be as much as $17.6 billion. </w:t>
      </w:r>
      <w:r w:rsidR="00387B7E">
        <w:t>For example, i</w:t>
      </w:r>
      <w:r w:rsidRPr="003A7F35">
        <w:t xml:space="preserve">n 2024, Paris hosted the Olympic and Paralympic games and some of the effects felt across France included growth in skills, jobs, tourist numbers and tourist spend. </w:t>
      </w:r>
      <w:r w:rsidR="00E872F8">
        <w:t>Specifically</w:t>
      </w:r>
      <w:r w:rsidR="000F1D4E">
        <w:t>,</w:t>
      </w:r>
      <w:r w:rsidR="00FF28B6">
        <w:t xml:space="preserve"> </w:t>
      </w:r>
      <w:r w:rsidR="005243C1">
        <w:t>a report for the</w:t>
      </w:r>
      <w:r w:rsidR="00FF28B6">
        <w:t xml:space="preserve"> International Olympic Committee </w:t>
      </w:r>
      <w:r w:rsidR="005243C1">
        <w:t>estimated</w:t>
      </w:r>
      <w:r w:rsidR="00FF28B6">
        <w:t xml:space="preserve"> t</w:t>
      </w:r>
      <w:r w:rsidR="00E43DDF">
        <w:t>hat the Paris Olympics in 2024</w:t>
      </w:r>
      <w:r w:rsidR="007915BE">
        <w:rPr>
          <w:rStyle w:val="FootnoteReference"/>
        </w:rPr>
        <w:footnoteReference w:id="4"/>
      </w:r>
      <w:r w:rsidR="00E43DDF">
        <w:t xml:space="preserve"> </w:t>
      </w:r>
      <w:r w:rsidR="005243C1">
        <w:t>led to</w:t>
      </w:r>
      <w:r w:rsidR="00E43DDF">
        <w:t>:</w:t>
      </w:r>
      <w:r w:rsidR="000F1D4E">
        <w:t xml:space="preserve"> </w:t>
      </w:r>
    </w:p>
    <w:p w14:paraId="4E7F33AC" w14:textId="1D4D6848" w:rsidR="00E872F8" w:rsidRDefault="00322226" w:rsidP="005243C1">
      <w:pPr>
        <w:pStyle w:val="BulletList"/>
      </w:pPr>
      <w:r>
        <w:lastRenderedPageBreak/>
        <w:t xml:space="preserve">EUR </w:t>
      </w:r>
      <w:r w:rsidR="00E872F8" w:rsidRPr="00E872F8">
        <w:t>47 million distributed to support grassroots projects, benefitting 4.5 million people</w:t>
      </w:r>
      <w:r w:rsidR="00E43DDF">
        <w:t xml:space="preserve"> </w:t>
      </w:r>
      <w:r w:rsidR="00E872F8" w:rsidRPr="00E872F8">
        <w:t>by funding initiatives that use sport to improve lives</w:t>
      </w:r>
    </w:p>
    <w:p w14:paraId="00AEAEB7" w14:textId="77777777" w:rsidR="00146B77" w:rsidRPr="00146B77" w:rsidRDefault="00146B77" w:rsidP="005243C1">
      <w:pPr>
        <w:pStyle w:val="BulletList"/>
      </w:pPr>
      <w:r w:rsidRPr="00146B77">
        <w:t>30,000 people trained in new skills for future careers, enhancing their employability and career prospects</w:t>
      </w:r>
    </w:p>
    <w:p w14:paraId="3F257DBD" w14:textId="77777777" w:rsidR="00146B77" w:rsidRPr="00146B77" w:rsidRDefault="00146B77" w:rsidP="005243C1">
      <w:pPr>
        <w:pStyle w:val="BulletList"/>
      </w:pPr>
      <w:r w:rsidRPr="00146B77">
        <w:t>181,100 people employed in Games-related jobs, boosting the local job market.</w:t>
      </w:r>
    </w:p>
    <w:p w14:paraId="2BEE8511" w14:textId="4110F109" w:rsidR="00E43DDF" w:rsidRPr="00E872F8" w:rsidRDefault="005243C1" w:rsidP="001F64D1">
      <w:pPr>
        <w:pStyle w:val="BulletList"/>
      </w:pPr>
      <w:r w:rsidRPr="005243C1">
        <w:t>An estimated EUR 2.6 billion spent by tourists travelling to Paris during the Games, with or without tickets, according to the Paris Tourism Office.</w:t>
      </w:r>
    </w:p>
    <w:p w14:paraId="1605CE52" w14:textId="1C899F05" w:rsidR="00642F7D" w:rsidRDefault="00642F7D" w:rsidP="00642F7D">
      <w:pPr>
        <w:pStyle w:val="Heading3"/>
      </w:pPr>
      <w:bookmarkStart w:id="29" w:name="_Toc200703630"/>
      <w:r>
        <w:t>Domestic outlook</w:t>
      </w:r>
      <w:bookmarkEnd w:id="29"/>
    </w:p>
    <w:p w14:paraId="37EFEAD8" w14:textId="0B516D18" w:rsidR="000C57F6" w:rsidRPr="000C57F6" w:rsidRDefault="000C57F6" w:rsidP="000C57F6">
      <w:r w:rsidRPr="000C57F6">
        <w:t>Australians continue to prioritise travel</w:t>
      </w:r>
      <w:r w:rsidR="00EA1728">
        <w:t xml:space="preserve">. </w:t>
      </w:r>
      <w:r w:rsidRPr="000C57F6">
        <w:t xml:space="preserve">Australians have demonstrated an enduring appetite for travel, and domestic tourism is forecast to continue to grow over the next 5 years. However, only moderate domestic growth is expected in 2025. </w:t>
      </w:r>
    </w:p>
    <w:p w14:paraId="0A11355E" w14:textId="77777777" w:rsidR="000C57F6" w:rsidRPr="000C57F6" w:rsidRDefault="000C57F6" w:rsidP="000C57F6">
      <w:r w:rsidRPr="000C57F6">
        <w:t>Spending patterns are likely to continue to change, as travellers look to optimise their travel budget. Travellers are likely to want more from every trip – seeking a combination of personal fulfilment and connections to local communities. Wellness, food and other experiences that create lasting memories will remain popular. Tailored itineraries around these activities may be able to attract premium prices.</w:t>
      </w:r>
    </w:p>
    <w:p w14:paraId="342DF6E3" w14:textId="2F65701A" w:rsidR="003705C5" w:rsidRDefault="003F3E27" w:rsidP="006F0C53">
      <w:r>
        <w:t>Growth in b</w:t>
      </w:r>
      <w:r w:rsidR="003705C5">
        <w:t xml:space="preserve">oth </w:t>
      </w:r>
      <w:r w:rsidR="00D50893" w:rsidRPr="00D50893">
        <w:t xml:space="preserve">overnight </w:t>
      </w:r>
      <w:r w:rsidR="003705C5">
        <w:t xml:space="preserve">and </w:t>
      </w:r>
      <w:r w:rsidR="003705C5" w:rsidRPr="00D50893">
        <w:t>day trip spend</w:t>
      </w:r>
      <w:r w:rsidR="003705C5">
        <w:t xml:space="preserve"> </w:t>
      </w:r>
      <w:r>
        <w:t>is</w:t>
      </w:r>
      <w:r w:rsidR="003705C5">
        <w:t xml:space="preserve"> forecast to </w:t>
      </w:r>
      <w:r>
        <w:t>outpace expected inflation over the next 5 years.</w:t>
      </w:r>
      <w:r w:rsidR="005F2434">
        <w:t xml:space="preserve"> D</w:t>
      </w:r>
      <w:r w:rsidR="005F2434" w:rsidRPr="00D50893">
        <w:t>omestic overnight trip spend</w:t>
      </w:r>
      <w:r w:rsidR="005F2434" w:rsidRPr="005F2434">
        <w:t xml:space="preserve"> </w:t>
      </w:r>
      <w:r w:rsidR="005F2434">
        <w:t>is forecast to</w:t>
      </w:r>
      <w:r w:rsidR="005F2434" w:rsidRPr="005F2434">
        <w:t xml:space="preserve"> increase to $132.7 billion in 2029</w:t>
      </w:r>
      <w:r w:rsidR="005F2434">
        <w:t>, and domestic day trip spend is forecast to</w:t>
      </w:r>
      <w:r w:rsidR="005F2434" w:rsidRPr="005F2434">
        <w:t xml:space="preserve"> increase to $</w:t>
      </w:r>
      <w:r w:rsidR="00F16FEE">
        <w:t>41.5</w:t>
      </w:r>
      <w:r w:rsidR="005F2434" w:rsidRPr="005F2434">
        <w:t xml:space="preserve"> billion in 2029</w:t>
      </w:r>
      <w:r w:rsidR="00F16FEE">
        <w:t>.</w:t>
      </w:r>
    </w:p>
    <w:p w14:paraId="7E14652A" w14:textId="538228F9" w:rsidR="00D50893" w:rsidRDefault="00D50893" w:rsidP="000B005F">
      <w:r w:rsidRPr="00D50893">
        <w:t xml:space="preserve"> </w:t>
      </w:r>
      <w:r w:rsidR="000B005F">
        <w:t>Factors driving growth</w:t>
      </w:r>
    </w:p>
    <w:p w14:paraId="423D576A" w14:textId="77777777" w:rsidR="00E84646" w:rsidRPr="00E84646" w:rsidRDefault="00E84646" w:rsidP="00B33CC9">
      <w:pPr>
        <w:pStyle w:val="BulletList"/>
      </w:pPr>
      <w:r w:rsidRPr="00E84646">
        <w:t>Consumer travel intentions have held up, demonstrating an enduring and compelling need and desire for Australians to travel to connect, explore, unwind and recharge</w:t>
      </w:r>
    </w:p>
    <w:p w14:paraId="464F6402" w14:textId="77777777" w:rsidR="00E84646" w:rsidRPr="00E84646" w:rsidRDefault="00E84646" w:rsidP="00B33CC9">
      <w:pPr>
        <w:pStyle w:val="BulletList"/>
      </w:pPr>
      <w:r w:rsidRPr="00E84646">
        <w:t>Australia’s strong forward portfolio of events – travel media and market analysis point to events being a key driver of travel intentions.</w:t>
      </w:r>
    </w:p>
    <w:p w14:paraId="6EBC8D25" w14:textId="77777777" w:rsidR="00E84646" w:rsidRPr="00E84646" w:rsidRDefault="00E84646" w:rsidP="00B33CC9">
      <w:pPr>
        <w:pStyle w:val="BulletList"/>
      </w:pPr>
      <w:r w:rsidRPr="00E84646">
        <w:t>Household disposable income is forecast to rise, which is positive for forward-looking tourism demand, as it supports increased household spending. </w:t>
      </w:r>
    </w:p>
    <w:p w14:paraId="639CDBC2" w14:textId="17CDA8D3" w:rsidR="00F12B67" w:rsidRDefault="00A941B9" w:rsidP="006F0C53">
      <w:r w:rsidRPr="00A941B9">
        <w:t xml:space="preserve">Risks </w:t>
      </w:r>
      <w:r w:rsidR="00F12B67">
        <w:t>to the</w:t>
      </w:r>
      <w:r w:rsidRPr="00A941B9">
        <w:t xml:space="preserve"> forecast</w:t>
      </w:r>
      <w:r w:rsidR="00F12B67">
        <w:t xml:space="preserve"> outlook</w:t>
      </w:r>
    </w:p>
    <w:p w14:paraId="307DA95B" w14:textId="22E68F4C" w:rsidR="001A128B" w:rsidRDefault="001A128B" w:rsidP="00086B8D">
      <w:pPr>
        <w:pStyle w:val="ListParagraph"/>
        <w:numPr>
          <w:ilvl w:val="0"/>
          <w:numId w:val="5"/>
        </w:numPr>
      </w:pPr>
      <w:r w:rsidRPr="00A941B9">
        <w:t>Increasingly large, uncontrolled, unpredictable and</w:t>
      </w:r>
      <w:r w:rsidR="00544A8F">
        <w:t>/or</w:t>
      </w:r>
      <w:r w:rsidRPr="00A941B9">
        <w:t xml:space="preserve"> damaging weather events could dampen demand for travel to </w:t>
      </w:r>
      <w:r w:rsidR="00544A8F">
        <w:t xml:space="preserve">more </w:t>
      </w:r>
      <w:r w:rsidRPr="00A941B9">
        <w:t xml:space="preserve">destinations throughout the year </w:t>
      </w:r>
    </w:p>
    <w:p w14:paraId="1E7BFA88" w14:textId="784D0DA2" w:rsidR="00A7318F" w:rsidRDefault="00086AA0" w:rsidP="00086B8D">
      <w:pPr>
        <w:pStyle w:val="ListParagraph"/>
        <w:numPr>
          <w:ilvl w:val="0"/>
          <w:numId w:val="5"/>
        </w:numPr>
      </w:pPr>
      <w:r>
        <w:t xml:space="preserve">Higher </w:t>
      </w:r>
      <w:r w:rsidR="00BD7FEB" w:rsidRPr="00A941B9">
        <w:t>domestic airfares</w:t>
      </w:r>
      <w:r w:rsidR="00BD7FEB">
        <w:t xml:space="preserve">, either </w:t>
      </w:r>
      <w:r>
        <w:t>because of</w:t>
      </w:r>
      <w:r w:rsidR="00BD7FEB" w:rsidRPr="00A941B9">
        <w:t xml:space="preserve"> </w:t>
      </w:r>
      <w:r>
        <w:t>higher costs such as jet fuel</w:t>
      </w:r>
      <w:r w:rsidRPr="00A941B9">
        <w:t xml:space="preserve"> </w:t>
      </w:r>
      <w:r>
        <w:t xml:space="preserve">or </w:t>
      </w:r>
      <w:r w:rsidR="00BD7FEB" w:rsidRPr="00A941B9">
        <w:t>reduced airline competitio</w:t>
      </w:r>
      <w:r w:rsidR="00BD7FEB">
        <w:t>n,</w:t>
      </w:r>
      <w:r w:rsidR="00493DE7">
        <w:t xml:space="preserve"> c</w:t>
      </w:r>
      <w:r w:rsidR="00493DE7" w:rsidRPr="00A941B9">
        <w:t xml:space="preserve">ould </w:t>
      </w:r>
      <w:r w:rsidR="00493DE7">
        <w:t>weigh</w:t>
      </w:r>
      <w:r w:rsidR="00493DE7" w:rsidRPr="00A941B9">
        <w:t xml:space="preserve"> on travel demand to destinations relatively more reliant on</w:t>
      </w:r>
      <w:r w:rsidR="007E60E7">
        <w:t xml:space="preserve"> </w:t>
      </w:r>
      <w:r w:rsidR="00493DE7" w:rsidRPr="00A941B9">
        <w:t>air travel</w:t>
      </w:r>
    </w:p>
    <w:p w14:paraId="5DC3A0F4" w14:textId="0324124F" w:rsidR="00A941B9" w:rsidRDefault="00A7318F" w:rsidP="00086B8D">
      <w:pPr>
        <w:pStyle w:val="ListParagraph"/>
        <w:numPr>
          <w:ilvl w:val="0"/>
          <w:numId w:val="5"/>
        </w:numPr>
      </w:pPr>
      <w:r>
        <w:t xml:space="preserve">Changes in the </w:t>
      </w:r>
      <w:r w:rsidR="00A941B9" w:rsidRPr="00A941B9">
        <w:t xml:space="preserve">cost competitiveness of outbound travel relative to domestic travel </w:t>
      </w:r>
      <w:r w:rsidR="00544A8F">
        <w:t>c</w:t>
      </w:r>
      <w:r>
        <w:t>ould affect</w:t>
      </w:r>
      <w:r w:rsidR="00A941B9" w:rsidRPr="00A941B9">
        <w:t xml:space="preserve"> domestic travel </w:t>
      </w:r>
      <w:r w:rsidR="00544A8F">
        <w:t>growth</w:t>
      </w:r>
    </w:p>
    <w:p w14:paraId="5298E758" w14:textId="77777777" w:rsidR="00807609" w:rsidRDefault="00807609">
      <w:pPr>
        <w:spacing w:before="0" w:after="160" w:line="259" w:lineRule="auto"/>
        <w:rPr>
          <w:rFonts w:eastAsia="SimSun" w:cs="Times New Roman"/>
          <w:bCs/>
          <w:color w:val="441D4A" w:themeColor="accent1" w:themeShade="80"/>
          <w:sz w:val="32"/>
          <w:szCs w:val="26"/>
          <w:lang w:eastAsia="zh-CN"/>
        </w:rPr>
      </w:pPr>
      <w:r>
        <w:br w:type="page"/>
      </w:r>
    </w:p>
    <w:p w14:paraId="2C16CE4F" w14:textId="3C48DED2" w:rsidR="00CC0FD6" w:rsidRDefault="00CC0FD6" w:rsidP="00CC0FD6">
      <w:pPr>
        <w:pStyle w:val="Heading2"/>
      </w:pPr>
      <w:bookmarkStart w:id="30" w:name="_Toc200703631"/>
      <w:r>
        <w:lastRenderedPageBreak/>
        <w:t>Data sources</w:t>
      </w:r>
      <w:bookmarkEnd w:id="30"/>
    </w:p>
    <w:p w14:paraId="3B66C8D2" w14:textId="77777777" w:rsidR="00A9471B" w:rsidRDefault="001F2456" w:rsidP="00D8163C">
      <w:r w:rsidRPr="00FD351D">
        <w:t xml:space="preserve">For more information, please visit the below sources. </w:t>
      </w:r>
      <w:r w:rsidR="00C0733D">
        <w:br/>
      </w:r>
      <w:bookmarkStart w:id="31" w:name="_Hlk104386782"/>
    </w:p>
    <w:p w14:paraId="64550CB2" w14:textId="03A0659C" w:rsidR="00D8163C" w:rsidRPr="00D8163C" w:rsidRDefault="00D8163C" w:rsidP="00D8163C">
      <w:r w:rsidRPr="00D8163C">
        <w:t>Australian Bureau of Statistics (ABS)</w:t>
      </w:r>
    </w:p>
    <w:p w14:paraId="2800D664" w14:textId="7DC05B07" w:rsidR="0079622F" w:rsidRPr="00865ECD" w:rsidRDefault="00D8163C" w:rsidP="00086B8D">
      <w:pPr>
        <w:pStyle w:val="ListParagraph"/>
        <w:numPr>
          <w:ilvl w:val="0"/>
          <w:numId w:val="13"/>
        </w:numPr>
      </w:pPr>
      <w:hyperlink r:id="rId48" w:history="1">
        <w:r w:rsidRPr="00865ECD">
          <w:rPr>
            <w:rStyle w:val="Hyperlink"/>
          </w:rPr>
          <w:t xml:space="preserve">Overseas Arrivals and Departures, Australia, </w:t>
        </w:r>
        <w:r w:rsidR="00E335A1" w:rsidRPr="00865ECD">
          <w:rPr>
            <w:rStyle w:val="Hyperlink"/>
          </w:rPr>
          <w:t>December</w:t>
        </w:r>
      </w:hyperlink>
      <w:r w:rsidR="00E335A1" w:rsidRPr="00865ECD">
        <w:t xml:space="preserve"> 2024</w:t>
      </w:r>
    </w:p>
    <w:bookmarkStart w:id="32" w:name="_Hlk104386732"/>
    <w:p w14:paraId="429D2D7F" w14:textId="1872DB8A" w:rsidR="00D8163C" w:rsidRDefault="00D8163C" w:rsidP="00086B8D">
      <w:pPr>
        <w:pStyle w:val="ListParagraph"/>
        <w:numPr>
          <w:ilvl w:val="0"/>
          <w:numId w:val="13"/>
        </w:numPr>
      </w:pPr>
      <w:r w:rsidRPr="00865ECD">
        <w:fldChar w:fldCharType="begin"/>
      </w:r>
      <w:r w:rsidR="007A6CDE" w:rsidRPr="00865ECD">
        <w:instrText>HYPERLINK "https://www.abs.gov.au/statistics/economy/national-accounts/tourism-satellite-account/latest-release"</w:instrText>
      </w:r>
      <w:r w:rsidRPr="00865ECD">
        <w:fldChar w:fldCharType="separate"/>
      </w:r>
      <w:r w:rsidRPr="00865ECD">
        <w:rPr>
          <w:rStyle w:val="Hyperlink"/>
        </w:rPr>
        <w:t xml:space="preserve">Tourism Satellite Accounts: quarterly tourism labour statistics, Australia, experimental estimates, </w:t>
      </w:r>
      <w:r w:rsidRPr="00865ECD">
        <w:fldChar w:fldCharType="end"/>
      </w:r>
      <w:r w:rsidR="00865ECD" w:rsidRPr="00865ECD">
        <w:t>2023 – 2024</w:t>
      </w:r>
      <w:bookmarkEnd w:id="32"/>
    </w:p>
    <w:p w14:paraId="682BD106" w14:textId="5DAF3088" w:rsidR="00E046D7" w:rsidRPr="00865ECD" w:rsidRDefault="00E046D7" w:rsidP="0035027F">
      <w:pPr>
        <w:pStyle w:val="ListParagraph"/>
        <w:numPr>
          <w:ilvl w:val="0"/>
          <w:numId w:val="13"/>
        </w:numPr>
      </w:pPr>
      <w:hyperlink r:id="rId49" w:history="1">
        <w:r w:rsidRPr="0035027F">
          <w:rPr>
            <w:rStyle w:val="Hyperlink"/>
          </w:rPr>
          <w:t xml:space="preserve">Monthly Household Spending Indicator, December 2024 </w:t>
        </w:r>
      </w:hyperlink>
    </w:p>
    <w:p w14:paraId="5C8D799A" w14:textId="151B4038" w:rsidR="00D54D51" w:rsidRPr="00D54D51" w:rsidRDefault="00D54D51" w:rsidP="00D54D51">
      <w:r w:rsidRPr="00D54D51">
        <w:t>Department of Infrastructure, Transport, Regional Development, Communications and the Arts (BITRE)</w:t>
      </w:r>
    </w:p>
    <w:bookmarkEnd w:id="31"/>
    <w:p w14:paraId="3A7EEAE1" w14:textId="36F993CC" w:rsidR="00D54D51" w:rsidRDefault="00D54D51" w:rsidP="00086B8D">
      <w:pPr>
        <w:pStyle w:val="ListParagraph"/>
        <w:numPr>
          <w:ilvl w:val="0"/>
          <w:numId w:val="12"/>
        </w:numPr>
      </w:pPr>
      <w:r w:rsidRPr="00D54D51">
        <w:t>International Airline Activity monthly airline performance - January 202</w:t>
      </w:r>
      <w:r>
        <w:t>5</w:t>
      </w:r>
      <w:r w:rsidRPr="00D54D51">
        <w:t xml:space="preserve">, </w:t>
      </w:r>
      <w:hyperlink r:id="rId50" w:history="1">
        <w:r w:rsidRPr="00D54D51">
          <w:rPr>
            <w:rStyle w:val="Hyperlink"/>
          </w:rPr>
          <w:t>International Airline Activity—Time Series</w:t>
        </w:r>
      </w:hyperlink>
      <w:r w:rsidR="00DA1004">
        <w:t>.</w:t>
      </w:r>
    </w:p>
    <w:p w14:paraId="289459C2" w14:textId="6DF5451A" w:rsidR="000B471C" w:rsidRDefault="002054B7" w:rsidP="00086B8D">
      <w:pPr>
        <w:pStyle w:val="ListParagraph"/>
        <w:numPr>
          <w:ilvl w:val="0"/>
          <w:numId w:val="12"/>
        </w:numPr>
      </w:pPr>
      <w:r>
        <w:t>Domestic</w:t>
      </w:r>
      <w:r w:rsidRPr="00D54D51">
        <w:t xml:space="preserve"> Airline Activity monthly airline performance - January 202</w:t>
      </w:r>
      <w:r>
        <w:t xml:space="preserve">5. </w:t>
      </w:r>
      <w:hyperlink r:id="rId51" w:history="1">
        <w:r w:rsidRPr="002054B7">
          <w:rPr>
            <w:rStyle w:val="Hyperlink"/>
          </w:rPr>
          <w:t xml:space="preserve">Australian Domestic Airline Activity—time series </w:t>
        </w:r>
      </w:hyperlink>
    </w:p>
    <w:p w14:paraId="39C012CB" w14:textId="6088F0BC" w:rsidR="0030494B" w:rsidRDefault="00F145A2" w:rsidP="00F145A2">
      <w:r w:rsidRPr="00F145A2">
        <w:t xml:space="preserve">Tourism Research Australia </w:t>
      </w:r>
    </w:p>
    <w:p w14:paraId="03F6481F" w14:textId="48F73E61" w:rsidR="001C4CD2" w:rsidRPr="001C4CD2" w:rsidRDefault="001C4CD2" w:rsidP="00086B8D">
      <w:pPr>
        <w:pStyle w:val="ListParagraph"/>
        <w:numPr>
          <w:ilvl w:val="0"/>
          <w:numId w:val="11"/>
        </w:numPr>
      </w:pPr>
      <w:hyperlink r:id="rId52" w:history="1">
        <w:r w:rsidRPr="001C4CD2">
          <w:rPr>
            <w:rStyle w:val="Hyperlink"/>
          </w:rPr>
          <w:t>Business events data</w:t>
        </w:r>
      </w:hyperlink>
      <w:r w:rsidRPr="001C4CD2">
        <w:t>, year ending December 202</w:t>
      </w:r>
      <w:r>
        <w:t>4.</w:t>
      </w:r>
    </w:p>
    <w:p w14:paraId="2A128F96" w14:textId="435EC987" w:rsidR="001C4CD2" w:rsidRPr="001C4CD2" w:rsidRDefault="001C4CD2" w:rsidP="00086B8D">
      <w:pPr>
        <w:pStyle w:val="ListParagraph"/>
        <w:numPr>
          <w:ilvl w:val="0"/>
          <w:numId w:val="11"/>
        </w:numPr>
      </w:pPr>
      <w:hyperlink r:id="rId53" w:history="1">
        <w:r w:rsidRPr="001C4CD2">
          <w:rPr>
            <w:rStyle w:val="Hyperlink"/>
          </w:rPr>
          <w:t>International tourism results</w:t>
        </w:r>
      </w:hyperlink>
      <w:r w:rsidRPr="001C4CD2">
        <w:t>, year ending December 202</w:t>
      </w:r>
      <w:r>
        <w:t>4.</w:t>
      </w:r>
    </w:p>
    <w:p w14:paraId="251B2DC8" w14:textId="30116AF4" w:rsidR="001C4CD2" w:rsidRPr="001C4CD2" w:rsidRDefault="001C4CD2" w:rsidP="00086B8D">
      <w:pPr>
        <w:pStyle w:val="ListParagraph"/>
        <w:numPr>
          <w:ilvl w:val="0"/>
          <w:numId w:val="11"/>
        </w:numPr>
      </w:pPr>
      <w:hyperlink r:id="rId54" w:history="1">
        <w:r w:rsidRPr="001C4CD2">
          <w:rPr>
            <w:rStyle w:val="Hyperlink"/>
          </w:rPr>
          <w:t>Domestic tourism results</w:t>
        </w:r>
      </w:hyperlink>
      <w:r w:rsidRPr="001C4CD2">
        <w:t>, year ending December 202</w:t>
      </w:r>
      <w:r w:rsidR="00D61680">
        <w:t>4.</w:t>
      </w:r>
    </w:p>
    <w:p w14:paraId="1EB825A7" w14:textId="599F677A" w:rsidR="001C4CD2" w:rsidRPr="001C4CD2" w:rsidRDefault="001C4CD2" w:rsidP="00086B8D">
      <w:pPr>
        <w:pStyle w:val="ListParagraph"/>
        <w:numPr>
          <w:ilvl w:val="0"/>
          <w:numId w:val="11"/>
        </w:numPr>
      </w:pPr>
      <w:hyperlink r:id="rId55" w:history="1">
        <w:r w:rsidRPr="001C4CD2">
          <w:rPr>
            <w:rStyle w:val="Hyperlink"/>
          </w:rPr>
          <w:t>Quarterly tourism labour force statistics</w:t>
        </w:r>
      </w:hyperlink>
      <w:r w:rsidRPr="001C4CD2">
        <w:t>, December 202</w:t>
      </w:r>
      <w:r w:rsidR="00D61680">
        <w:t>4.</w:t>
      </w:r>
    </w:p>
    <w:p w14:paraId="41D8331E" w14:textId="11104078" w:rsidR="001C4CD2" w:rsidRPr="00232EA1" w:rsidRDefault="001C4CD2" w:rsidP="00086B8D">
      <w:pPr>
        <w:pStyle w:val="ListParagraph"/>
        <w:numPr>
          <w:ilvl w:val="0"/>
          <w:numId w:val="11"/>
        </w:numPr>
      </w:pPr>
      <w:hyperlink r:id="rId56" w:history="1">
        <w:r w:rsidRPr="00232EA1">
          <w:rPr>
            <w:rStyle w:val="Hyperlink"/>
          </w:rPr>
          <w:t>State Tourism Satellite Account</w:t>
        </w:r>
      </w:hyperlink>
      <w:r w:rsidRPr="00232EA1">
        <w:t>, STSA 202</w:t>
      </w:r>
      <w:r w:rsidR="00D61680" w:rsidRPr="00232EA1">
        <w:t>3</w:t>
      </w:r>
      <w:r w:rsidRPr="00232EA1">
        <w:t>-2</w:t>
      </w:r>
      <w:r w:rsidR="00D61680" w:rsidRPr="00232EA1">
        <w:t>4.</w:t>
      </w:r>
    </w:p>
    <w:p w14:paraId="1E2DDD44" w14:textId="04062D60" w:rsidR="001C4CD2" w:rsidRPr="00232EA1" w:rsidRDefault="001C4CD2" w:rsidP="00086B8D">
      <w:pPr>
        <w:pStyle w:val="ListParagraph"/>
        <w:numPr>
          <w:ilvl w:val="0"/>
          <w:numId w:val="11"/>
        </w:numPr>
      </w:pPr>
      <w:hyperlink r:id="rId57" w:history="1">
        <w:r w:rsidRPr="00232EA1">
          <w:rPr>
            <w:rStyle w:val="Hyperlink"/>
          </w:rPr>
          <w:t>Tourism businesses</w:t>
        </w:r>
      </w:hyperlink>
      <w:r w:rsidRPr="00232EA1">
        <w:t>, Tourism businesses in Australia: June 201</w:t>
      </w:r>
      <w:r w:rsidR="00232EA1" w:rsidRPr="00232EA1">
        <w:t>9</w:t>
      </w:r>
      <w:r w:rsidRPr="00232EA1">
        <w:t xml:space="preserve"> to 202</w:t>
      </w:r>
      <w:r w:rsidR="00232EA1" w:rsidRPr="00232EA1">
        <w:t>4</w:t>
      </w:r>
    </w:p>
    <w:p w14:paraId="608E4B99" w14:textId="75E3DD6F" w:rsidR="001C4CD2" w:rsidRPr="001C4CD2" w:rsidRDefault="001C4CD2" w:rsidP="00086B8D">
      <w:pPr>
        <w:pStyle w:val="ListParagraph"/>
        <w:numPr>
          <w:ilvl w:val="0"/>
          <w:numId w:val="11"/>
        </w:numPr>
      </w:pPr>
      <w:hyperlink r:id="rId58" w:history="1">
        <w:r w:rsidRPr="001C4CD2">
          <w:rPr>
            <w:rStyle w:val="Hyperlink"/>
          </w:rPr>
          <w:t>Tourism forecasts</w:t>
        </w:r>
      </w:hyperlink>
      <w:r w:rsidRPr="001C4CD2">
        <w:t>, Tourism Forecasts for Australia 202</w:t>
      </w:r>
      <w:r w:rsidR="00857A02">
        <w:t>4</w:t>
      </w:r>
      <w:r w:rsidRPr="001C4CD2">
        <w:t xml:space="preserve"> to 202</w:t>
      </w:r>
      <w:r w:rsidR="00857A02">
        <w:t>9.</w:t>
      </w:r>
    </w:p>
    <w:p w14:paraId="4DF71AE0" w14:textId="2A11A489" w:rsidR="001C4CD2" w:rsidRPr="001C4CD2" w:rsidRDefault="001C4CD2" w:rsidP="00086B8D">
      <w:pPr>
        <w:pStyle w:val="ListParagraph"/>
        <w:numPr>
          <w:ilvl w:val="0"/>
          <w:numId w:val="11"/>
        </w:numPr>
      </w:pPr>
      <w:hyperlink r:id="rId59" w:history="1">
        <w:r w:rsidRPr="001C4CD2">
          <w:rPr>
            <w:rStyle w:val="Hyperlink"/>
          </w:rPr>
          <w:t>Tourism Investment Monitor</w:t>
        </w:r>
      </w:hyperlink>
      <w:r w:rsidRPr="001C4CD2">
        <w:t>, Tourism Investment Monitor 202</w:t>
      </w:r>
      <w:r w:rsidR="00857A02">
        <w:t>3</w:t>
      </w:r>
      <w:r w:rsidRPr="001C4CD2">
        <w:t>-2</w:t>
      </w:r>
      <w:r w:rsidR="00857A02">
        <w:t>4.</w:t>
      </w:r>
    </w:p>
    <w:p w14:paraId="361DBD56" w14:textId="77777777" w:rsidR="0030494B" w:rsidRPr="0030494B" w:rsidRDefault="0030494B" w:rsidP="0030494B">
      <w:r w:rsidRPr="0030494B">
        <w:t>STR (acquired by CoStar Group, Inc.)</w:t>
      </w:r>
    </w:p>
    <w:p w14:paraId="2DF55B38" w14:textId="77777777" w:rsidR="0030494B" w:rsidRPr="0030494B" w:rsidRDefault="0030494B" w:rsidP="00086B8D">
      <w:pPr>
        <w:pStyle w:val="ListParagraph"/>
        <w:numPr>
          <w:ilvl w:val="0"/>
          <w:numId w:val="14"/>
        </w:numPr>
      </w:pPr>
      <w:r w:rsidRPr="0030494B">
        <w:t xml:space="preserve">Subscription data </w:t>
      </w:r>
    </w:p>
    <w:p w14:paraId="6292E300" w14:textId="77777777" w:rsidR="00143979" w:rsidRPr="00143979" w:rsidRDefault="00143979" w:rsidP="00143979">
      <w:r w:rsidRPr="00143979">
        <w:t>Jobs and Skills Australia</w:t>
      </w:r>
    </w:p>
    <w:p w14:paraId="381B520A" w14:textId="61822FD8" w:rsidR="00143979" w:rsidRPr="00143979" w:rsidRDefault="00143979" w:rsidP="00086B8D">
      <w:pPr>
        <w:pStyle w:val="ListParagraph"/>
        <w:numPr>
          <w:ilvl w:val="0"/>
          <w:numId w:val="11"/>
        </w:numPr>
      </w:pPr>
      <w:hyperlink r:id="rId60" w:history="1">
        <w:r w:rsidRPr="00143979">
          <w:rPr>
            <w:rStyle w:val="Hyperlink"/>
          </w:rPr>
          <w:t>Internet Vacancy Index</w:t>
        </w:r>
      </w:hyperlink>
      <w:r w:rsidRPr="00143979">
        <w:t>, March 2024</w:t>
      </w:r>
      <w:r>
        <w:t>.</w:t>
      </w:r>
    </w:p>
    <w:p w14:paraId="0B2717B6" w14:textId="5260933E" w:rsidR="00143979" w:rsidRPr="00143979" w:rsidRDefault="00143979" w:rsidP="00086B8D">
      <w:pPr>
        <w:pStyle w:val="ListParagraph"/>
        <w:numPr>
          <w:ilvl w:val="0"/>
          <w:numId w:val="11"/>
        </w:numPr>
      </w:pPr>
      <w:hyperlink r:id="rId61" w:history="1">
        <w:r w:rsidRPr="00143979">
          <w:rPr>
            <w:rStyle w:val="Hyperlink"/>
          </w:rPr>
          <w:t>Skills Priority List</w:t>
        </w:r>
      </w:hyperlink>
      <w:r w:rsidRPr="00143979">
        <w:t>, 202</w:t>
      </w:r>
      <w:r>
        <w:t>4.</w:t>
      </w:r>
    </w:p>
    <w:p w14:paraId="6CE784DE" w14:textId="7AB3D5DF" w:rsidR="00050A8F" w:rsidRDefault="00050A8F" w:rsidP="0033677A">
      <w:r>
        <w:t>International Air Transport Association (IATA)</w:t>
      </w:r>
    </w:p>
    <w:p w14:paraId="51E0BA68" w14:textId="6B8F20BB" w:rsidR="003867B2" w:rsidRDefault="00D7136E" w:rsidP="00086B8D">
      <w:pPr>
        <w:pStyle w:val="ListParagraph"/>
        <w:numPr>
          <w:ilvl w:val="0"/>
          <w:numId w:val="16"/>
        </w:numPr>
      </w:pPr>
      <w:hyperlink r:id="rId62" w:anchor=":~:text=International%20full%2Dyear%20traffic%20in,while%20capacity%20expanded%20by%202.5%25." w:history="1">
        <w:r w:rsidRPr="00D7136E">
          <w:rPr>
            <w:rStyle w:val="Hyperlink"/>
          </w:rPr>
          <w:t>IATA - Global Air Passenger Demand Reaches Record High in 2024</w:t>
        </w:r>
      </w:hyperlink>
    </w:p>
    <w:p w14:paraId="22C95CE3" w14:textId="6CDADED6" w:rsidR="00197539" w:rsidRPr="00545075" w:rsidRDefault="00197539" w:rsidP="006D501A">
      <w:r w:rsidRPr="00545075">
        <w:t xml:space="preserve">United Nations </w:t>
      </w:r>
      <w:r w:rsidR="00545075" w:rsidRPr="00545075">
        <w:t>World Tourism Organisations</w:t>
      </w:r>
    </w:p>
    <w:p w14:paraId="7C39C83D" w14:textId="4FC3BA27" w:rsidR="00197539" w:rsidRPr="00545075" w:rsidRDefault="00197539" w:rsidP="00086B8D">
      <w:pPr>
        <w:pStyle w:val="ListParagraph"/>
        <w:numPr>
          <w:ilvl w:val="0"/>
          <w:numId w:val="15"/>
        </w:numPr>
      </w:pPr>
      <w:hyperlink r:id="rId63" w:history="1">
        <w:r w:rsidRPr="00545075">
          <w:rPr>
            <w:rStyle w:val="Hyperlink"/>
          </w:rPr>
          <w:t>UN Tourism Data Dashboard | Key Indicators</w:t>
        </w:r>
      </w:hyperlink>
    </w:p>
    <w:p w14:paraId="4D5F77FE" w14:textId="0D7ACDF6" w:rsidR="00B27436" w:rsidRPr="00B27436" w:rsidRDefault="00B27436" w:rsidP="006D501A">
      <w:r w:rsidRPr="00B27436">
        <w:t xml:space="preserve">International Olympic Committee </w:t>
      </w:r>
    </w:p>
    <w:p w14:paraId="78E6EA69" w14:textId="2EFA24B8" w:rsidR="004767E6" w:rsidRPr="00B27436" w:rsidRDefault="00C0733D" w:rsidP="00086B8D">
      <w:pPr>
        <w:pStyle w:val="ListParagraph"/>
        <w:numPr>
          <w:ilvl w:val="0"/>
          <w:numId w:val="15"/>
        </w:numPr>
      </w:pPr>
      <w:r w:rsidRPr="00B27436">
        <w:t>https://www.olympics.com/ioc/news/all-you-need-to-know-about-impact-and-legacy-at-paris-2024-for-the-people-for-the-community-and-for-the-environment</w:t>
      </w:r>
    </w:p>
    <w:sectPr w:rsidR="004767E6" w:rsidRPr="00B27436" w:rsidSect="00B55852">
      <w:headerReference w:type="even" r:id="rId64"/>
      <w:headerReference w:type="default" r:id="rId65"/>
      <w:footerReference w:type="even" r:id="rId66"/>
      <w:footerReference w:type="default" r:id="rId67"/>
      <w:headerReference w:type="first" r:id="rId68"/>
      <w:footerReference w:type="first" r:id="rId69"/>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6D002" w14:textId="77777777" w:rsidR="00086478" w:rsidRDefault="00086478" w:rsidP="007B0021">
      <w:r>
        <w:separator/>
      </w:r>
    </w:p>
    <w:p w14:paraId="7B66A75A" w14:textId="77777777" w:rsidR="00086478" w:rsidRDefault="00086478" w:rsidP="007B0021"/>
  </w:endnote>
  <w:endnote w:type="continuationSeparator" w:id="0">
    <w:p w14:paraId="279BF9FE" w14:textId="77777777" w:rsidR="00086478" w:rsidRDefault="00086478" w:rsidP="007B0021">
      <w:r>
        <w:continuationSeparator/>
      </w:r>
    </w:p>
    <w:p w14:paraId="25D25B25" w14:textId="77777777" w:rsidR="00086478" w:rsidRDefault="00086478" w:rsidP="007B0021"/>
  </w:endnote>
  <w:endnote w:type="continuationNotice" w:id="1">
    <w:p w14:paraId="0B48B771" w14:textId="77777777" w:rsidR="00086478" w:rsidRDefault="000864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moder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U Sans BETA Text Ligh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A8F5" w14:textId="6B523554" w:rsidR="00710296" w:rsidRDefault="00710296">
    <w:pPr>
      <w:pStyle w:val="Footer"/>
    </w:pPr>
    <w:r>
      <w:rPr>
        <w:noProof/>
      </w:rPr>
      <mc:AlternateContent>
        <mc:Choice Requires="wps">
          <w:drawing>
            <wp:anchor distT="0" distB="0" distL="0" distR="0" simplePos="0" relativeHeight="251658244" behindDoc="0" locked="0" layoutInCell="1" allowOverlap="1" wp14:anchorId="4BD4D59F" wp14:editId="4ED3118B">
              <wp:simplePos x="635" y="635"/>
              <wp:positionH relativeFrom="page">
                <wp:align>center</wp:align>
              </wp:positionH>
              <wp:positionV relativeFrom="page">
                <wp:align>bottom</wp:align>
              </wp:positionV>
              <wp:extent cx="551815" cy="508000"/>
              <wp:effectExtent l="0" t="0" r="635" b="0"/>
              <wp:wrapNone/>
              <wp:docPr id="58812632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872D669" w14:textId="089835DE"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D4D59F" id="_x0000_t202" coordsize="21600,21600" o:spt="202" path="m,l,21600r21600,l21600,xe">
              <v:stroke joinstyle="miter"/>
              <v:path gradientshapeok="t" o:connecttype="rect"/>
            </v:shapetype>
            <v:shape id="Text Box 13" o:spid="_x0000_s1028" type="#_x0000_t202" alt="OFFICIAL" style="position:absolute;margin-left:0;margin-top:0;width:43.45pt;height:4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Ad48ORDgIAABwE&#10;AAAOAAAAAAAAAAAAAAAAAC4CAABkcnMvZTJvRG9jLnhtbFBLAQItABQABgAIAAAAIQAun/o72gAA&#10;AAMBAAAPAAAAAAAAAAAAAAAAAGgEAABkcnMvZG93bnJldi54bWxQSwUGAAAAAAQABADzAAAAbwUA&#10;AAAA&#10;" filled="f" stroked="f">
              <v:textbox style="mso-fit-shape-to-text:t" inset="0,0,0,15pt">
                <w:txbxContent>
                  <w:p w14:paraId="1872D669" w14:textId="089835DE"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09EB" w14:textId="63FDAD09" w:rsidR="00710296" w:rsidRDefault="00710296">
    <w:pPr>
      <w:pStyle w:val="Footer"/>
    </w:pPr>
    <w:r>
      <w:rPr>
        <w:noProof/>
      </w:rPr>
      <mc:AlternateContent>
        <mc:Choice Requires="wps">
          <w:drawing>
            <wp:anchor distT="0" distB="0" distL="0" distR="0" simplePos="0" relativeHeight="251658245" behindDoc="0" locked="0" layoutInCell="1" allowOverlap="1" wp14:anchorId="15E41314" wp14:editId="40F22BE4">
              <wp:simplePos x="635" y="635"/>
              <wp:positionH relativeFrom="page">
                <wp:align>center</wp:align>
              </wp:positionH>
              <wp:positionV relativeFrom="page">
                <wp:align>bottom</wp:align>
              </wp:positionV>
              <wp:extent cx="551815" cy="508000"/>
              <wp:effectExtent l="0" t="0" r="635" b="0"/>
              <wp:wrapNone/>
              <wp:docPr id="205650473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AE47B01" w14:textId="5A4FB2DF"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41314" id="_x0000_t202" coordsize="21600,21600" o:spt="202" path="m,l,21600r21600,l21600,xe">
              <v:stroke joinstyle="miter"/>
              <v:path gradientshapeok="t" o:connecttype="rect"/>
            </v:shapetype>
            <v:shape id="Text Box 14" o:spid="_x0000_s1029" type="#_x0000_t202" alt="OFFICIAL" style="position:absolute;margin-left:0;margin-top:0;width:43.45pt;height:40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sDgIAABwEAAAOAAAAZHJzL2Uyb0RvYy54bWysU01v2zAMvQ/YfxB0X2x3yJ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wXHGsDgIAABwE&#10;AAAOAAAAAAAAAAAAAAAAAC4CAABkcnMvZTJvRG9jLnhtbFBLAQItABQABgAIAAAAIQAun/o72gAA&#10;AAMBAAAPAAAAAAAAAAAAAAAAAGgEAABkcnMvZG93bnJldi54bWxQSwUGAAAAAAQABADzAAAAbwUA&#10;AAAA&#10;" filled="f" stroked="f">
              <v:textbox style="mso-fit-shape-to-text:t" inset="0,0,0,15pt">
                <w:txbxContent>
                  <w:p w14:paraId="6AE47B01" w14:textId="5A4FB2DF"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9DDE" w14:textId="6D425285" w:rsidR="00710296" w:rsidRDefault="00710296">
    <w:pPr>
      <w:pStyle w:val="Footer"/>
    </w:pPr>
    <w:r>
      <w:rPr>
        <w:noProof/>
      </w:rPr>
      <mc:AlternateContent>
        <mc:Choice Requires="wps">
          <w:drawing>
            <wp:anchor distT="0" distB="0" distL="0" distR="0" simplePos="0" relativeHeight="251658243" behindDoc="0" locked="0" layoutInCell="1" allowOverlap="1" wp14:anchorId="2464A052" wp14:editId="1147EB68">
              <wp:simplePos x="635" y="635"/>
              <wp:positionH relativeFrom="page">
                <wp:align>center</wp:align>
              </wp:positionH>
              <wp:positionV relativeFrom="page">
                <wp:align>bottom</wp:align>
              </wp:positionV>
              <wp:extent cx="551815" cy="508000"/>
              <wp:effectExtent l="0" t="0" r="635" b="0"/>
              <wp:wrapNone/>
              <wp:docPr id="72660558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4A28CB4" w14:textId="4AFCBA1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64A052" id="_x0000_t202" coordsize="21600,21600" o:spt="202" path="m,l,21600r21600,l21600,xe">
              <v:stroke joinstyle="miter"/>
              <v:path gradientshapeok="t" o:connecttype="rect"/>
            </v:shapetype>
            <v:shape id="Text Box 12" o:spid="_x0000_s1031" type="#_x0000_t202" alt="OFFICIAL" style="position:absolute;margin-left:0;margin-top:0;width:43.45pt;height:4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" filled="f" stroked="f">
              <v:textbox style="mso-fit-shape-to-text:t" inset="0,0,0,15pt">
                <w:txbxContent>
                  <w:p w14:paraId="64A28CB4" w14:textId="4AFCBA1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51853" w14:textId="77777777" w:rsidR="00086478" w:rsidRDefault="00086478" w:rsidP="007B0021">
      <w:r>
        <w:separator/>
      </w:r>
    </w:p>
    <w:p w14:paraId="3172F495" w14:textId="77777777" w:rsidR="00086478" w:rsidRDefault="00086478" w:rsidP="007B0021"/>
  </w:footnote>
  <w:footnote w:type="continuationSeparator" w:id="0">
    <w:p w14:paraId="68DF98DF" w14:textId="77777777" w:rsidR="00086478" w:rsidRDefault="00086478" w:rsidP="007B0021">
      <w:r>
        <w:continuationSeparator/>
      </w:r>
    </w:p>
    <w:p w14:paraId="64F8A144" w14:textId="77777777" w:rsidR="00086478" w:rsidRDefault="00086478" w:rsidP="007B0021"/>
  </w:footnote>
  <w:footnote w:type="continuationNotice" w:id="1">
    <w:p w14:paraId="536E8CE6" w14:textId="77777777" w:rsidR="00086478" w:rsidRDefault="00086478">
      <w:pPr>
        <w:spacing w:before="0" w:after="0" w:line="240" w:lineRule="auto"/>
      </w:pPr>
    </w:p>
  </w:footnote>
  <w:footnote w:id="2">
    <w:p w14:paraId="6B59C59A" w14:textId="62DE210A" w:rsidR="005133F0" w:rsidRPr="005133F0" w:rsidRDefault="005133F0" w:rsidP="005133F0">
      <w:pPr>
        <w:pStyle w:val="FootnoteText"/>
      </w:pPr>
      <w:r>
        <w:rPr>
          <w:rStyle w:val="FootnoteReference"/>
        </w:rPr>
        <w:footnoteRef/>
      </w:r>
      <w:r>
        <w:t xml:space="preserve"> </w:t>
      </w:r>
      <w:r w:rsidRPr="005133F0">
        <w:t xml:space="preserve">The decline in </w:t>
      </w:r>
      <w:r>
        <w:t>t</w:t>
      </w:r>
      <w:r w:rsidR="00A54821">
        <w:t xml:space="preserve">rip </w:t>
      </w:r>
      <w:r>
        <w:t xml:space="preserve">spend on </w:t>
      </w:r>
      <w:r w:rsidRPr="005133F0">
        <w:t>alcohol</w:t>
      </w:r>
      <w:r w:rsidR="00A54821">
        <w:t xml:space="preserve"> and</w:t>
      </w:r>
      <w:r w:rsidRPr="005133F0">
        <w:t xml:space="preserve"> drinks aligns with </w:t>
      </w:r>
      <w:r w:rsidR="00832BFA">
        <w:t xml:space="preserve">the </w:t>
      </w:r>
      <w:r w:rsidR="00A54821">
        <w:t>broader</w:t>
      </w:r>
      <w:r w:rsidR="00832BFA">
        <w:t xml:space="preserve"> trend nationally</w:t>
      </w:r>
      <w:r w:rsidR="00096CAC">
        <w:t>.</w:t>
      </w:r>
      <w:r w:rsidR="00832BFA">
        <w:t xml:space="preserve"> In 2024</w:t>
      </w:r>
      <w:r w:rsidR="00A54821">
        <w:t xml:space="preserve">, </w:t>
      </w:r>
      <w:r w:rsidR="00832BFA">
        <w:t xml:space="preserve">Australians spent 6.7% less on </w:t>
      </w:r>
      <w:r w:rsidRPr="005133F0">
        <w:t xml:space="preserve">alcohol and tobacco </w:t>
      </w:r>
      <w:r w:rsidR="00832BFA">
        <w:t xml:space="preserve">than in </w:t>
      </w:r>
      <w:r w:rsidRPr="005133F0">
        <w:t>2023</w:t>
      </w:r>
      <w:r w:rsidR="0091407A">
        <w:t>, according to ABS data on household spending</w:t>
      </w:r>
      <w:r w:rsidR="003146FE">
        <w:t xml:space="preserve">: </w:t>
      </w:r>
      <w:hyperlink r:id="rId1" w:history="1">
        <w:r w:rsidR="00042B8A" w:rsidRPr="00042B8A">
          <w:rPr>
            <w:rStyle w:val="Hyperlink"/>
          </w:rPr>
          <w:t>Monthly Household Spending Indicator | Australian Bureau of Statistics</w:t>
        </w:r>
      </w:hyperlink>
      <w:r w:rsidRPr="005133F0">
        <w:t xml:space="preserve">. </w:t>
      </w:r>
    </w:p>
    <w:p w14:paraId="77C63D07" w14:textId="6DFE8347" w:rsidR="005133F0" w:rsidRDefault="005133F0">
      <w:pPr>
        <w:pStyle w:val="FootnoteText"/>
      </w:pPr>
    </w:p>
  </w:footnote>
  <w:footnote w:id="3">
    <w:p w14:paraId="2C4326FE" w14:textId="77777777" w:rsidR="00493CC9" w:rsidRDefault="00493CC9" w:rsidP="00493CC9">
      <w:pPr>
        <w:pStyle w:val="FootnoteText"/>
      </w:pPr>
      <w:r>
        <w:rPr>
          <w:rStyle w:val="FootnoteReference"/>
        </w:rPr>
        <w:footnoteRef/>
      </w:r>
      <w:r>
        <w:t xml:space="preserve"> </w:t>
      </w:r>
      <w:hyperlink r:id="rId2" w:history="1">
        <w:r w:rsidRPr="002705BB">
          <w:rPr>
            <w:rStyle w:val="Hyperlink"/>
          </w:rPr>
          <w:t>https://www.unwto.org/tourism-data/un-tourism-tracker</w:t>
        </w:r>
      </w:hyperlink>
    </w:p>
  </w:footnote>
  <w:footnote w:id="4">
    <w:p w14:paraId="7A76958F" w14:textId="3ACC7F45" w:rsidR="007915BE" w:rsidRDefault="007915BE">
      <w:pPr>
        <w:pStyle w:val="FootnoteText"/>
      </w:pPr>
      <w:r>
        <w:rPr>
          <w:rStyle w:val="FootnoteReference"/>
        </w:rPr>
        <w:footnoteRef/>
      </w:r>
      <w:r>
        <w:t xml:space="preserve"> </w:t>
      </w:r>
      <w:r w:rsidRPr="00D00A9F">
        <w:rPr>
          <w:sz w:val="18"/>
          <w:szCs w:val="18"/>
        </w:rPr>
        <w:t xml:space="preserve">See: </w:t>
      </w:r>
      <w:hyperlink r:id="rId3" w:history="1">
        <w:r w:rsidRPr="00D00A9F">
          <w:rPr>
            <w:rStyle w:val="Hyperlink"/>
            <w:sz w:val="18"/>
            <w:szCs w:val="18"/>
          </w:rPr>
          <w:t>All you need to know about impact and legacy at Paris 2024: for the people, for the community and for the environment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6730" w14:textId="50BC94C2" w:rsidR="00710296" w:rsidRDefault="00710296">
    <w:pPr>
      <w:pStyle w:val="Header"/>
    </w:pPr>
    <w:r>
      <w:rPr>
        <w:noProof/>
      </w:rPr>
      <mc:AlternateContent>
        <mc:Choice Requires="wps">
          <w:drawing>
            <wp:anchor distT="0" distB="0" distL="0" distR="0" simplePos="0" relativeHeight="251658241" behindDoc="0" locked="0" layoutInCell="1" allowOverlap="1" wp14:anchorId="6DA3B2B6" wp14:editId="3FF01E81">
              <wp:simplePos x="635" y="635"/>
              <wp:positionH relativeFrom="page">
                <wp:align>center</wp:align>
              </wp:positionH>
              <wp:positionV relativeFrom="page">
                <wp:align>top</wp:align>
              </wp:positionV>
              <wp:extent cx="551815" cy="508000"/>
              <wp:effectExtent l="0" t="0" r="635" b="6350"/>
              <wp:wrapNone/>
              <wp:docPr id="176097890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471BB69" w14:textId="7A2F976A"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3B2B6" id="_x0000_t202" coordsize="21600,21600" o:spt="202" path="m,l,21600r21600,l21600,xe">
              <v:stroke joinstyle="miter"/>
              <v:path gradientshapeok="t" o:connecttype="rect"/>
            </v:shapetype>
            <v:shape id="Text Box 7" o:spid="_x0000_s1026" type="#_x0000_t202" alt="OFFICIAL" style="position:absolute;margin-left:0;margin-top:0;width:43.45pt;height:4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6471BB69" w14:textId="7A2F976A"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0D81E" w14:textId="18E354ED" w:rsidR="00710296" w:rsidRDefault="00710296">
    <w:pPr>
      <w:pStyle w:val="Header"/>
    </w:pPr>
    <w:r>
      <w:rPr>
        <w:noProof/>
      </w:rPr>
      <mc:AlternateContent>
        <mc:Choice Requires="wps">
          <w:drawing>
            <wp:anchor distT="0" distB="0" distL="0" distR="0" simplePos="0" relativeHeight="251658242" behindDoc="0" locked="0" layoutInCell="1" allowOverlap="1" wp14:anchorId="643DBDD2" wp14:editId="1F4E3151">
              <wp:simplePos x="635" y="635"/>
              <wp:positionH relativeFrom="page">
                <wp:align>center</wp:align>
              </wp:positionH>
              <wp:positionV relativeFrom="page">
                <wp:align>top</wp:align>
              </wp:positionV>
              <wp:extent cx="551815" cy="508000"/>
              <wp:effectExtent l="0" t="0" r="635" b="6350"/>
              <wp:wrapNone/>
              <wp:docPr id="106398590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707238D" w14:textId="17EBD3C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DBDD2" id="_x0000_t202" coordsize="21600,21600" o:spt="202" path="m,l,21600r21600,l21600,xe">
              <v:stroke joinstyle="miter"/>
              <v:path gradientshapeok="t" o:connecttype="rect"/>
            </v:shapetype>
            <v:shape id="Text Box 8" o:spid="_x0000_s1027"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VjCw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" filled="f" stroked="f">
              <v:textbox style="mso-fit-shape-to-text:t" inset="0,15pt,0,0">
                <w:txbxContent>
                  <w:p w14:paraId="6707238D" w14:textId="17EBD3C8"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7B89" w14:textId="3CA0AD9C" w:rsidR="003A58AB" w:rsidRDefault="00710296" w:rsidP="007B0021">
    <w:pPr>
      <w:pStyle w:val="Header"/>
    </w:pPr>
    <w:r>
      <w:rPr>
        <w:noProof/>
      </w:rPr>
      <mc:AlternateContent>
        <mc:Choice Requires="wps">
          <w:drawing>
            <wp:anchor distT="0" distB="0" distL="0" distR="0" simplePos="0" relativeHeight="251658240" behindDoc="0" locked="0" layoutInCell="1" allowOverlap="1" wp14:anchorId="7B311262" wp14:editId="03D78253">
              <wp:simplePos x="635" y="635"/>
              <wp:positionH relativeFrom="page">
                <wp:align>center</wp:align>
              </wp:positionH>
              <wp:positionV relativeFrom="page">
                <wp:align>top</wp:align>
              </wp:positionV>
              <wp:extent cx="551815" cy="508000"/>
              <wp:effectExtent l="0" t="0" r="635" b="6350"/>
              <wp:wrapNone/>
              <wp:docPr id="208403065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CE421FE" w14:textId="76F8BD26"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311262" id="_x0000_t202" coordsize="21600,21600" o:spt="202" path="m,l,21600r21600,l21600,xe">
              <v:stroke joinstyle="miter"/>
              <v:path gradientshapeok="t" o:connecttype="rect"/>
            </v:shapetype>
            <v:shape id="Text Box 6" o:spid="_x0000_s1030"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2oDgIAABwEAAAOAAAAZHJzL2Uyb0RvYy54bWysU01v2zAMvQ/YfxB0X2wXy5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2nPagOAgAAHAQA&#10;AA4AAAAAAAAAAAAAAAAALgIAAGRycy9lMm9Eb2MueG1sUEsBAi0AFAAGAAgAAAAhAM1sJoTZAAAA&#10;AwEAAA8AAAAAAAAAAAAAAAAAaAQAAGRycy9kb3ducmV2LnhtbFBLBQYAAAAABAAEAPMAAABuBQAA&#10;AAA=&#10;" filled="f" stroked="f">
              <v:textbox style="mso-fit-shape-to-text:t" inset="0,15pt,0,0">
                <w:txbxContent>
                  <w:p w14:paraId="1CE421FE" w14:textId="76F8BD26" w:rsidR="00710296" w:rsidRPr="00710296" w:rsidRDefault="00710296" w:rsidP="00710296">
                    <w:pPr>
                      <w:spacing w:after="0"/>
                      <w:rPr>
                        <w:rFonts w:ascii="Calibri" w:eastAsia="Calibri" w:hAnsi="Calibri" w:cs="Calibri"/>
                        <w:noProof/>
                        <w:color w:val="FF0000"/>
                        <w:sz w:val="24"/>
                        <w:szCs w:val="24"/>
                      </w:rPr>
                    </w:pPr>
                    <w:r w:rsidRPr="00710296">
                      <w:rPr>
                        <w:rFonts w:ascii="Calibri" w:eastAsia="Calibri" w:hAnsi="Calibri" w:cs="Calibri"/>
                        <w:noProof/>
                        <w:color w:val="FF0000"/>
                        <w:sz w:val="24"/>
                        <w:szCs w:val="24"/>
                      </w:rPr>
                      <w:t>OFFICIAL</w:t>
                    </w:r>
                  </w:p>
                </w:txbxContent>
              </v:textbox>
              <w10:wrap anchorx="page" anchory="page"/>
            </v:shape>
          </w:pict>
        </mc:Fallback>
      </mc:AlternateContent>
    </w:r>
  </w:p>
  <w:p w14:paraId="42260FC9"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763C"/>
    <w:multiLevelType w:val="hybridMultilevel"/>
    <w:tmpl w:val="45C630B4"/>
    <w:lvl w:ilvl="0" w:tplc="BAB09AA6">
      <w:start w:val="1"/>
      <w:numFmt w:val="bullet"/>
      <w:lvlText w:val=""/>
      <w:lvlJc w:val="left"/>
      <w:pPr>
        <w:tabs>
          <w:tab w:val="num" w:pos="720"/>
        </w:tabs>
        <w:ind w:left="720" w:hanging="360"/>
      </w:pPr>
      <w:rPr>
        <w:rFonts w:ascii="Symbol" w:hAnsi="Symbol" w:hint="default"/>
      </w:rPr>
    </w:lvl>
    <w:lvl w:ilvl="1" w:tplc="52D06BEE" w:tentative="1">
      <w:start w:val="1"/>
      <w:numFmt w:val="bullet"/>
      <w:lvlText w:val=""/>
      <w:lvlJc w:val="left"/>
      <w:pPr>
        <w:tabs>
          <w:tab w:val="num" w:pos="1440"/>
        </w:tabs>
        <w:ind w:left="1440" w:hanging="360"/>
      </w:pPr>
      <w:rPr>
        <w:rFonts w:ascii="Symbol" w:hAnsi="Symbol" w:hint="default"/>
      </w:rPr>
    </w:lvl>
    <w:lvl w:ilvl="2" w:tplc="F266D6FC" w:tentative="1">
      <w:start w:val="1"/>
      <w:numFmt w:val="bullet"/>
      <w:lvlText w:val=""/>
      <w:lvlJc w:val="left"/>
      <w:pPr>
        <w:tabs>
          <w:tab w:val="num" w:pos="2160"/>
        </w:tabs>
        <w:ind w:left="2160" w:hanging="360"/>
      </w:pPr>
      <w:rPr>
        <w:rFonts w:ascii="Symbol" w:hAnsi="Symbol" w:hint="default"/>
      </w:rPr>
    </w:lvl>
    <w:lvl w:ilvl="3" w:tplc="3B44F16E" w:tentative="1">
      <w:start w:val="1"/>
      <w:numFmt w:val="bullet"/>
      <w:lvlText w:val=""/>
      <w:lvlJc w:val="left"/>
      <w:pPr>
        <w:tabs>
          <w:tab w:val="num" w:pos="2880"/>
        </w:tabs>
        <w:ind w:left="2880" w:hanging="360"/>
      </w:pPr>
      <w:rPr>
        <w:rFonts w:ascii="Symbol" w:hAnsi="Symbol" w:hint="default"/>
      </w:rPr>
    </w:lvl>
    <w:lvl w:ilvl="4" w:tplc="AA5AB474" w:tentative="1">
      <w:start w:val="1"/>
      <w:numFmt w:val="bullet"/>
      <w:lvlText w:val=""/>
      <w:lvlJc w:val="left"/>
      <w:pPr>
        <w:tabs>
          <w:tab w:val="num" w:pos="3600"/>
        </w:tabs>
        <w:ind w:left="3600" w:hanging="360"/>
      </w:pPr>
      <w:rPr>
        <w:rFonts w:ascii="Symbol" w:hAnsi="Symbol" w:hint="default"/>
      </w:rPr>
    </w:lvl>
    <w:lvl w:ilvl="5" w:tplc="6C686264" w:tentative="1">
      <w:start w:val="1"/>
      <w:numFmt w:val="bullet"/>
      <w:lvlText w:val=""/>
      <w:lvlJc w:val="left"/>
      <w:pPr>
        <w:tabs>
          <w:tab w:val="num" w:pos="4320"/>
        </w:tabs>
        <w:ind w:left="4320" w:hanging="360"/>
      </w:pPr>
      <w:rPr>
        <w:rFonts w:ascii="Symbol" w:hAnsi="Symbol" w:hint="default"/>
      </w:rPr>
    </w:lvl>
    <w:lvl w:ilvl="6" w:tplc="F976B592" w:tentative="1">
      <w:start w:val="1"/>
      <w:numFmt w:val="bullet"/>
      <w:lvlText w:val=""/>
      <w:lvlJc w:val="left"/>
      <w:pPr>
        <w:tabs>
          <w:tab w:val="num" w:pos="5040"/>
        </w:tabs>
        <w:ind w:left="5040" w:hanging="360"/>
      </w:pPr>
      <w:rPr>
        <w:rFonts w:ascii="Symbol" w:hAnsi="Symbol" w:hint="default"/>
      </w:rPr>
    </w:lvl>
    <w:lvl w:ilvl="7" w:tplc="14C2D5CA" w:tentative="1">
      <w:start w:val="1"/>
      <w:numFmt w:val="bullet"/>
      <w:lvlText w:val=""/>
      <w:lvlJc w:val="left"/>
      <w:pPr>
        <w:tabs>
          <w:tab w:val="num" w:pos="5760"/>
        </w:tabs>
        <w:ind w:left="5760" w:hanging="360"/>
      </w:pPr>
      <w:rPr>
        <w:rFonts w:ascii="Symbol" w:hAnsi="Symbol" w:hint="default"/>
      </w:rPr>
    </w:lvl>
    <w:lvl w:ilvl="8" w:tplc="4D1EF33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18128EF"/>
    <w:multiLevelType w:val="hybridMultilevel"/>
    <w:tmpl w:val="008EA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29F968C4"/>
    <w:multiLevelType w:val="hybridMultilevel"/>
    <w:tmpl w:val="D0C0F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7D1EF8"/>
    <w:multiLevelType w:val="hybridMultilevel"/>
    <w:tmpl w:val="76726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0F69A0"/>
    <w:multiLevelType w:val="hybridMultilevel"/>
    <w:tmpl w:val="EA9C1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893B94" w:themeColor="background2"/>
      </w:rPr>
    </w:lvl>
    <w:lvl w:ilvl="1">
      <w:start w:val="1"/>
      <w:numFmt w:val="bullet"/>
      <w:pStyle w:val="ListBullet2"/>
      <w:lvlText w:val="–"/>
      <w:lvlJc w:val="left"/>
      <w:pPr>
        <w:ind w:left="568" w:hanging="284"/>
      </w:pPr>
      <w:rPr>
        <w:rFonts w:ascii="Calibri" w:hAnsi="Calibri" w:cs="Times New Roman" w:hint="default"/>
        <w:color w:val="893B94" w:themeColor="background2"/>
      </w:rPr>
    </w:lvl>
    <w:lvl w:ilvl="2">
      <w:start w:val="1"/>
      <w:numFmt w:val="bullet"/>
      <w:pStyle w:val="ListBullet3"/>
      <w:lvlText w:val="–"/>
      <w:lvlJc w:val="left"/>
      <w:pPr>
        <w:ind w:left="852" w:hanging="284"/>
      </w:pPr>
      <w:rPr>
        <w:rFonts w:ascii="Calibri" w:hAnsi="Calibri" w:cs="Times New Roman" w:hint="default"/>
        <w:color w:val="893B94" w:themeColor="background2"/>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43C05D6E"/>
    <w:multiLevelType w:val="hybridMultilevel"/>
    <w:tmpl w:val="3B187402"/>
    <w:lvl w:ilvl="0" w:tplc="09C2DAF6">
      <w:start w:val="1"/>
      <w:numFmt w:val="bullet"/>
      <w:lvlText w:val=""/>
      <w:lvlJc w:val="left"/>
      <w:pPr>
        <w:tabs>
          <w:tab w:val="num" w:pos="720"/>
        </w:tabs>
        <w:ind w:left="720" w:hanging="360"/>
      </w:pPr>
      <w:rPr>
        <w:rFonts w:ascii="Symbol" w:hAnsi="Symbol" w:hint="default"/>
      </w:rPr>
    </w:lvl>
    <w:lvl w:ilvl="1" w:tplc="D2E076FC" w:tentative="1">
      <w:start w:val="1"/>
      <w:numFmt w:val="bullet"/>
      <w:lvlText w:val=""/>
      <w:lvlJc w:val="left"/>
      <w:pPr>
        <w:tabs>
          <w:tab w:val="num" w:pos="1440"/>
        </w:tabs>
        <w:ind w:left="1440" w:hanging="360"/>
      </w:pPr>
      <w:rPr>
        <w:rFonts w:ascii="Symbol" w:hAnsi="Symbol" w:hint="default"/>
      </w:rPr>
    </w:lvl>
    <w:lvl w:ilvl="2" w:tplc="162040F4" w:tentative="1">
      <w:start w:val="1"/>
      <w:numFmt w:val="bullet"/>
      <w:lvlText w:val=""/>
      <w:lvlJc w:val="left"/>
      <w:pPr>
        <w:tabs>
          <w:tab w:val="num" w:pos="2160"/>
        </w:tabs>
        <w:ind w:left="2160" w:hanging="360"/>
      </w:pPr>
      <w:rPr>
        <w:rFonts w:ascii="Symbol" w:hAnsi="Symbol" w:hint="default"/>
      </w:rPr>
    </w:lvl>
    <w:lvl w:ilvl="3" w:tplc="2C064D28" w:tentative="1">
      <w:start w:val="1"/>
      <w:numFmt w:val="bullet"/>
      <w:lvlText w:val=""/>
      <w:lvlJc w:val="left"/>
      <w:pPr>
        <w:tabs>
          <w:tab w:val="num" w:pos="2880"/>
        </w:tabs>
        <w:ind w:left="2880" w:hanging="360"/>
      </w:pPr>
      <w:rPr>
        <w:rFonts w:ascii="Symbol" w:hAnsi="Symbol" w:hint="default"/>
      </w:rPr>
    </w:lvl>
    <w:lvl w:ilvl="4" w:tplc="6EBED40E" w:tentative="1">
      <w:start w:val="1"/>
      <w:numFmt w:val="bullet"/>
      <w:lvlText w:val=""/>
      <w:lvlJc w:val="left"/>
      <w:pPr>
        <w:tabs>
          <w:tab w:val="num" w:pos="3600"/>
        </w:tabs>
        <w:ind w:left="3600" w:hanging="360"/>
      </w:pPr>
      <w:rPr>
        <w:rFonts w:ascii="Symbol" w:hAnsi="Symbol" w:hint="default"/>
      </w:rPr>
    </w:lvl>
    <w:lvl w:ilvl="5" w:tplc="D872281C" w:tentative="1">
      <w:start w:val="1"/>
      <w:numFmt w:val="bullet"/>
      <w:lvlText w:val=""/>
      <w:lvlJc w:val="left"/>
      <w:pPr>
        <w:tabs>
          <w:tab w:val="num" w:pos="4320"/>
        </w:tabs>
        <w:ind w:left="4320" w:hanging="360"/>
      </w:pPr>
      <w:rPr>
        <w:rFonts w:ascii="Symbol" w:hAnsi="Symbol" w:hint="default"/>
      </w:rPr>
    </w:lvl>
    <w:lvl w:ilvl="6" w:tplc="10B6701A" w:tentative="1">
      <w:start w:val="1"/>
      <w:numFmt w:val="bullet"/>
      <w:lvlText w:val=""/>
      <w:lvlJc w:val="left"/>
      <w:pPr>
        <w:tabs>
          <w:tab w:val="num" w:pos="5040"/>
        </w:tabs>
        <w:ind w:left="5040" w:hanging="360"/>
      </w:pPr>
      <w:rPr>
        <w:rFonts w:ascii="Symbol" w:hAnsi="Symbol" w:hint="default"/>
      </w:rPr>
    </w:lvl>
    <w:lvl w:ilvl="7" w:tplc="EFD461CE" w:tentative="1">
      <w:start w:val="1"/>
      <w:numFmt w:val="bullet"/>
      <w:lvlText w:val=""/>
      <w:lvlJc w:val="left"/>
      <w:pPr>
        <w:tabs>
          <w:tab w:val="num" w:pos="5760"/>
        </w:tabs>
        <w:ind w:left="5760" w:hanging="360"/>
      </w:pPr>
      <w:rPr>
        <w:rFonts w:ascii="Symbol" w:hAnsi="Symbol" w:hint="default"/>
      </w:rPr>
    </w:lvl>
    <w:lvl w:ilvl="8" w:tplc="79B21B1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6C6E71"/>
    <w:multiLevelType w:val="hybridMultilevel"/>
    <w:tmpl w:val="439C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D45511"/>
    <w:multiLevelType w:val="hybridMultilevel"/>
    <w:tmpl w:val="5638F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F4211C"/>
    <w:multiLevelType w:val="hybridMultilevel"/>
    <w:tmpl w:val="4DF0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A13508"/>
    <w:multiLevelType w:val="hybridMultilevel"/>
    <w:tmpl w:val="45A6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EA7303"/>
    <w:multiLevelType w:val="hybridMultilevel"/>
    <w:tmpl w:val="25349F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789B12CE"/>
    <w:multiLevelType w:val="hybridMultilevel"/>
    <w:tmpl w:val="A7A0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639102">
    <w:abstractNumId w:val="7"/>
  </w:num>
  <w:num w:numId="2" w16cid:durableId="784662544">
    <w:abstractNumId w:val="9"/>
  </w:num>
  <w:num w:numId="3" w16cid:durableId="1421415807">
    <w:abstractNumId w:val="2"/>
  </w:num>
  <w:num w:numId="4" w16cid:durableId="147798789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0175285">
    <w:abstractNumId w:val="13"/>
  </w:num>
  <w:num w:numId="6" w16cid:durableId="1517231940">
    <w:abstractNumId w:val="4"/>
  </w:num>
  <w:num w:numId="7" w16cid:durableId="914323196">
    <w:abstractNumId w:val="1"/>
  </w:num>
  <w:num w:numId="8" w16cid:durableId="367032532">
    <w:abstractNumId w:val="0"/>
  </w:num>
  <w:num w:numId="9" w16cid:durableId="1755663045">
    <w:abstractNumId w:val="8"/>
  </w:num>
  <w:num w:numId="10" w16cid:durableId="1516268713">
    <w:abstractNumId w:val="14"/>
  </w:num>
  <w:num w:numId="11" w16cid:durableId="1568609876">
    <w:abstractNumId w:val="11"/>
  </w:num>
  <w:num w:numId="12" w16cid:durableId="775909956">
    <w:abstractNumId w:val="12"/>
  </w:num>
  <w:num w:numId="13" w16cid:durableId="1944414302">
    <w:abstractNumId w:val="3"/>
  </w:num>
  <w:num w:numId="14" w16cid:durableId="1521702311">
    <w:abstractNumId w:val="5"/>
  </w:num>
  <w:num w:numId="15" w16cid:durableId="1281961179">
    <w:abstractNumId w:val="15"/>
  </w:num>
  <w:num w:numId="16" w16cid:durableId="3902293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79"/>
    <w:rsid w:val="000003F7"/>
    <w:rsid w:val="00000749"/>
    <w:rsid w:val="00000846"/>
    <w:rsid w:val="0000130A"/>
    <w:rsid w:val="00001865"/>
    <w:rsid w:val="000024BE"/>
    <w:rsid w:val="0000387D"/>
    <w:rsid w:val="000040DB"/>
    <w:rsid w:val="000049F3"/>
    <w:rsid w:val="00004A9D"/>
    <w:rsid w:val="00005219"/>
    <w:rsid w:val="00006377"/>
    <w:rsid w:val="00006EAD"/>
    <w:rsid w:val="00007CC2"/>
    <w:rsid w:val="000107BA"/>
    <w:rsid w:val="00011F92"/>
    <w:rsid w:val="000120A4"/>
    <w:rsid w:val="00014135"/>
    <w:rsid w:val="00014EFE"/>
    <w:rsid w:val="00015DC5"/>
    <w:rsid w:val="0001759C"/>
    <w:rsid w:val="00022120"/>
    <w:rsid w:val="000233EA"/>
    <w:rsid w:val="0002376F"/>
    <w:rsid w:val="00023D6D"/>
    <w:rsid w:val="00024C16"/>
    <w:rsid w:val="00027C06"/>
    <w:rsid w:val="00032376"/>
    <w:rsid w:val="00032D02"/>
    <w:rsid w:val="00032F20"/>
    <w:rsid w:val="00032F40"/>
    <w:rsid w:val="00033BFF"/>
    <w:rsid w:val="000344D4"/>
    <w:rsid w:val="00035A94"/>
    <w:rsid w:val="00035C25"/>
    <w:rsid w:val="00035EDE"/>
    <w:rsid w:val="00036072"/>
    <w:rsid w:val="00036E18"/>
    <w:rsid w:val="00040DED"/>
    <w:rsid w:val="000423CB"/>
    <w:rsid w:val="000426E4"/>
    <w:rsid w:val="00042B8A"/>
    <w:rsid w:val="000444BF"/>
    <w:rsid w:val="000457E5"/>
    <w:rsid w:val="00046BC5"/>
    <w:rsid w:val="000507AF"/>
    <w:rsid w:val="00050A8F"/>
    <w:rsid w:val="000516F2"/>
    <w:rsid w:val="00055FBE"/>
    <w:rsid w:val="00056038"/>
    <w:rsid w:val="0005677A"/>
    <w:rsid w:val="000577AD"/>
    <w:rsid w:val="00062395"/>
    <w:rsid w:val="0006356F"/>
    <w:rsid w:val="000645D3"/>
    <w:rsid w:val="000646B3"/>
    <w:rsid w:val="00064F63"/>
    <w:rsid w:val="00065A62"/>
    <w:rsid w:val="00066046"/>
    <w:rsid w:val="00067483"/>
    <w:rsid w:val="00070E81"/>
    <w:rsid w:val="000719D7"/>
    <w:rsid w:val="00072031"/>
    <w:rsid w:val="00072B18"/>
    <w:rsid w:val="0007336D"/>
    <w:rsid w:val="00073DD4"/>
    <w:rsid w:val="000742D4"/>
    <w:rsid w:val="0007566E"/>
    <w:rsid w:val="00076A14"/>
    <w:rsid w:val="000771EA"/>
    <w:rsid w:val="0007741D"/>
    <w:rsid w:val="00080706"/>
    <w:rsid w:val="00081767"/>
    <w:rsid w:val="00082136"/>
    <w:rsid w:val="00083445"/>
    <w:rsid w:val="00084847"/>
    <w:rsid w:val="0008568A"/>
    <w:rsid w:val="00085DC1"/>
    <w:rsid w:val="00086478"/>
    <w:rsid w:val="00086AA0"/>
    <w:rsid w:val="00086B04"/>
    <w:rsid w:val="00086B8D"/>
    <w:rsid w:val="000901BC"/>
    <w:rsid w:val="000922FA"/>
    <w:rsid w:val="00092EF3"/>
    <w:rsid w:val="000958ED"/>
    <w:rsid w:val="00095DFB"/>
    <w:rsid w:val="00096505"/>
    <w:rsid w:val="00096CAC"/>
    <w:rsid w:val="000A0E4B"/>
    <w:rsid w:val="000A2584"/>
    <w:rsid w:val="000A3D33"/>
    <w:rsid w:val="000A4707"/>
    <w:rsid w:val="000A4D69"/>
    <w:rsid w:val="000A5C46"/>
    <w:rsid w:val="000A6361"/>
    <w:rsid w:val="000A6B65"/>
    <w:rsid w:val="000A72B9"/>
    <w:rsid w:val="000A7402"/>
    <w:rsid w:val="000B005F"/>
    <w:rsid w:val="000B2268"/>
    <w:rsid w:val="000B471C"/>
    <w:rsid w:val="000B4D92"/>
    <w:rsid w:val="000B5C76"/>
    <w:rsid w:val="000B7057"/>
    <w:rsid w:val="000B71DB"/>
    <w:rsid w:val="000B7427"/>
    <w:rsid w:val="000C0F7F"/>
    <w:rsid w:val="000C193C"/>
    <w:rsid w:val="000C1A69"/>
    <w:rsid w:val="000C289B"/>
    <w:rsid w:val="000C5427"/>
    <w:rsid w:val="000C57F6"/>
    <w:rsid w:val="000C584F"/>
    <w:rsid w:val="000D1247"/>
    <w:rsid w:val="000D1FC4"/>
    <w:rsid w:val="000D265E"/>
    <w:rsid w:val="000D3221"/>
    <w:rsid w:val="000D33EE"/>
    <w:rsid w:val="000D352D"/>
    <w:rsid w:val="000D35F6"/>
    <w:rsid w:val="000D3B6A"/>
    <w:rsid w:val="000D48DE"/>
    <w:rsid w:val="000D4ABB"/>
    <w:rsid w:val="000D4DA0"/>
    <w:rsid w:val="000D6003"/>
    <w:rsid w:val="000D6CB7"/>
    <w:rsid w:val="000D70BF"/>
    <w:rsid w:val="000D743C"/>
    <w:rsid w:val="000D7BDB"/>
    <w:rsid w:val="000E0B97"/>
    <w:rsid w:val="000E21E0"/>
    <w:rsid w:val="000E3061"/>
    <w:rsid w:val="000E3208"/>
    <w:rsid w:val="000E3CCF"/>
    <w:rsid w:val="000E6F6C"/>
    <w:rsid w:val="000E7850"/>
    <w:rsid w:val="000E7E86"/>
    <w:rsid w:val="000F125B"/>
    <w:rsid w:val="000F146C"/>
    <w:rsid w:val="000F1D02"/>
    <w:rsid w:val="000F1D4E"/>
    <w:rsid w:val="000F253C"/>
    <w:rsid w:val="000F2810"/>
    <w:rsid w:val="000F332A"/>
    <w:rsid w:val="00100305"/>
    <w:rsid w:val="0010053A"/>
    <w:rsid w:val="00100C66"/>
    <w:rsid w:val="001013F1"/>
    <w:rsid w:val="00101F68"/>
    <w:rsid w:val="001036A0"/>
    <w:rsid w:val="00104B0E"/>
    <w:rsid w:val="001063F3"/>
    <w:rsid w:val="001072F1"/>
    <w:rsid w:val="00107EA5"/>
    <w:rsid w:val="0011250D"/>
    <w:rsid w:val="00112ADD"/>
    <w:rsid w:val="00112BF8"/>
    <w:rsid w:val="001130FC"/>
    <w:rsid w:val="00113739"/>
    <w:rsid w:val="00114E27"/>
    <w:rsid w:val="00117037"/>
    <w:rsid w:val="00117092"/>
    <w:rsid w:val="00121298"/>
    <w:rsid w:val="00122D20"/>
    <w:rsid w:val="00123BEA"/>
    <w:rsid w:val="0012425F"/>
    <w:rsid w:val="00124527"/>
    <w:rsid w:val="00126B52"/>
    <w:rsid w:val="00127674"/>
    <w:rsid w:val="00127A8B"/>
    <w:rsid w:val="00131C56"/>
    <w:rsid w:val="00131E77"/>
    <w:rsid w:val="00135DC0"/>
    <w:rsid w:val="0013650D"/>
    <w:rsid w:val="00136E78"/>
    <w:rsid w:val="00137530"/>
    <w:rsid w:val="00141CA2"/>
    <w:rsid w:val="001422C9"/>
    <w:rsid w:val="001422FF"/>
    <w:rsid w:val="001425DE"/>
    <w:rsid w:val="00143979"/>
    <w:rsid w:val="0014446E"/>
    <w:rsid w:val="00145003"/>
    <w:rsid w:val="001452D9"/>
    <w:rsid w:val="001459C3"/>
    <w:rsid w:val="00145A4D"/>
    <w:rsid w:val="00146105"/>
    <w:rsid w:val="00146B77"/>
    <w:rsid w:val="00147D40"/>
    <w:rsid w:val="00150F19"/>
    <w:rsid w:val="00152BCE"/>
    <w:rsid w:val="00153761"/>
    <w:rsid w:val="00154993"/>
    <w:rsid w:val="001555D8"/>
    <w:rsid w:val="0015620F"/>
    <w:rsid w:val="001566DC"/>
    <w:rsid w:val="0015714A"/>
    <w:rsid w:val="00162D9B"/>
    <w:rsid w:val="00163586"/>
    <w:rsid w:val="00164B37"/>
    <w:rsid w:val="00164B77"/>
    <w:rsid w:val="0016635D"/>
    <w:rsid w:val="00166553"/>
    <w:rsid w:val="00167D3A"/>
    <w:rsid w:val="00170A03"/>
    <w:rsid w:val="00171122"/>
    <w:rsid w:val="00172CA5"/>
    <w:rsid w:val="00173139"/>
    <w:rsid w:val="001773CA"/>
    <w:rsid w:val="00180CDF"/>
    <w:rsid w:val="00181D57"/>
    <w:rsid w:val="00182261"/>
    <w:rsid w:val="00183B32"/>
    <w:rsid w:val="00184281"/>
    <w:rsid w:val="001842A7"/>
    <w:rsid w:val="00186631"/>
    <w:rsid w:val="00190A7F"/>
    <w:rsid w:val="00190D63"/>
    <w:rsid w:val="0019235A"/>
    <w:rsid w:val="00194605"/>
    <w:rsid w:val="00197539"/>
    <w:rsid w:val="001A128B"/>
    <w:rsid w:val="001A162F"/>
    <w:rsid w:val="001A3F10"/>
    <w:rsid w:val="001A47B0"/>
    <w:rsid w:val="001A47F4"/>
    <w:rsid w:val="001A6124"/>
    <w:rsid w:val="001B0BDD"/>
    <w:rsid w:val="001B141F"/>
    <w:rsid w:val="001B2D79"/>
    <w:rsid w:val="001B7966"/>
    <w:rsid w:val="001C088F"/>
    <w:rsid w:val="001C163D"/>
    <w:rsid w:val="001C2FED"/>
    <w:rsid w:val="001C4CD2"/>
    <w:rsid w:val="001C5060"/>
    <w:rsid w:val="001C6B41"/>
    <w:rsid w:val="001D34E3"/>
    <w:rsid w:val="001D4509"/>
    <w:rsid w:val="001D5251"/>
    <w:rsid w:val="001D7F00"/>
    <w:rsid w:val="001E0392"/>
    <w:rsid w:val="001E0EE7"/>
    <w:rsid w:val="001E0F0F"/>
    <w:rsid w:val="001E179D"/>
    <w:rsid w:val="001E186F"/>
    <w:rsid w:val="001E201A"/>
    <w:rsid w:val="001E2C7D"/>
    <w:rsid w:val="001E3BAD"/>
    <w:rsid w:val="001E6521"/>
    <w:rsid w:val="001F1363"/>
    <w:rsid w:val="001F1A1F"/>
    <w:rsid w:val="001F22E2"/>
    <w:rsid w:val="001F2456"/>
    <w:rsid w:val="001F2A99"/>
    <w:rsid w:val="001F603E"/>
    <w:rsid w:val="001F64D1"/>
    <w:rsid w:val="00200FAF"/>
    <w:rsid w:val="00201777"/>
    <w:rsid w:val="00202344"/>
    <w:rsid w:val="00203A10"/>
    <w:rsid w:val="00203B1B"/>
    <w:rsid w:val="0020439E"/>
    <w:rsid w:val="00204AEF"/>
    <w:rsid w:val="002054B7"/>
    <w:rsid w:val="00206249"/>
    <w:rsid w:val="00206A92"/>
    <w:rsid w:val="00210F73"/>
    <w:rsid w:val="00212046"/>
    <w:rsid w:val="002132AA"/>
    <w:rsid w:val="002148FD"/>
    <w:rsid w:val="002163AB"/>
    <w:rsid w:val="00216985"/>
    <w:rsid w:val="0021739F"/>
    <w:rsid w:val="002177E5"/>
    <w:rsid w:val="00221E31"/>
    <w:rsid w:val="00222C6C"/>
    <w:rsid w:val="00225082"/>
    <w:rsid w:val="00231342"/>
    <w:rsid w:val="0023276B"/>
    <w:rsid w:val="00232EA1"/>
    <w:rsid w:val="002342DD"/>
    <w:rsid w:val="0023537A"/>
    <w:rsid w:val="00240C5F"/>
    <w:rsid w:val="0024294D"/>
    <w:rsid w:val="00243F5F"/>
    <w:rsid w:val="00244044"/>
    <w:rsid w:val="002447DD"/>
    <w:rsid w:val="0024588A"/>
    <w:rsid w:val="00245E86"/>
    <w:rsid w:val="002464CA"/>
    <w:rsid w:val="00246E73"/>
    <w:rsid w:val="00247340"/>
    <w:rsid w:val="00247CF4"/>
    <w:rsid w:val="00250924"/>
    <w:rsid w:val="00251062"/>
    <w:rsid w:val="00251564"/>
    <w:rsid w:val="002522F4"/>
    <w:rsid w:val="002525AA"/>
    <w:rsid w:val="00253226"/>
    <w:rsid w:val="002535CA"/>
    <w:rsid w:val="00254411"/>
    <w:rsid w:val="00260797"/>
    <w:rsid w:val="002618BC"/>
    <w:rsid w:val="00261F28"/>
    <w:rsid w:val="002629B9"/>
    <w:rsid w:val="00263629"/>
    <w:rsid w:val="002705BB"/>
    <w:rsid w:val="00271559"/>
    <w:rsid w:val="002719DD"/>
    <w:rsid w:val="00272B4F"/>
    <w:rsid w:val="00272FD5"/>
    <w:rsid w:val="00274890"/>
    <w:rsid w:val="002749C0"/>
    <w:rsid w:val="002768E6"/>
    <w:rsid w:val="00276A00"/>
    <w:rsid w:val="00276C7E"/>
    <w:rsid w:val="00276EB0"/>
    <w:rsid w:val="002770C4"/>
    <w:rsid w:val="00280419"/>
    <w:rsid w:val="0028112D"/>
    <w:rsid w:val="00282C92"/>
    <w:rsid w:val="0028383C"/>
    <w:rsid w:val="002865F6"/>
    <w:rsid w:val="0028696F"/>
    <w:rsid w:val="00286DC9"/>
    <w:rsid w:val="00286ECB"/>
    <w:rsid w:val="0028763D"/>
    <w:rsid w:val="00287A04"/>
    <w:rsid w:val="00287CC4"/>
    <w:rsid w:val="0029071D"/>
    <w:rsid w:val="002957D8"/>
    <w:rsid w:val="002964B3"/>
    <w:rsid w:val="002A015A"/>
    <w:rsid w:val="002A16C2"/>
    <w:rsid w:val="002A2EB7"/>
    <w:rsid w:val="002A6661"/>
    <w:rsid w:val="002A674C"/>
    <w:rsid w:val="002A7EFA"/>
    <w:rsid w:val="002B02BE"/>
    <w:rsid w:val="002B3FF7"/>
    <w:rsid w:val="002B41CB"/>
    <w:rsid w:val="002B4882"/>
    <w:rsid w:val="002C118F"/>
    <w:rsid w:val="002C1C75"/>
    <w:rsid w:val="002C1F51"/>
    <w:rsid w:val="002C2F39"/>
    <w:rsid w:val="002C3856"/>
    <w:rsid w:val="002C39D5"/>
    <w:rsid w:val="002C4FF8"/>
    <w:rsid w:val="002C5D7E"/>
    <w:rsid w:val="002C7047"/>
    <w:rsid w:val="002C72AB"/>
    <w:rsid w:val="002D2A90"/>
    <w:rsid w:val="002D2BE5"/>
    <w:rsid w:val="002D2DF7"/>
    <w:rsid w:val="002D49C8"/>
    <w:rsid w:val="002D4B84"/>
    <w:rsid w:val="002D5B25"/>
    <w:rsid w:val="002D7640"/>
    <w:rsid w:val="002E0443"/>
    <w:rsid w:val="002E0870"/>
    <w:rsid w:val="002E0CA7"/>
    <w:rsid w:val="002E0D4E"/>
    <w:rsid w:val="002E12E9"/>
    <w:rsid w:val="002E1588"/>
    <w:rsid w:val="002E1BC7"/>
    <w:rsid w:val="002E2E4C"/>
    <w:rsid w:val="002E309C"/>
    <w:rsid w:val="002E44AC"/>
    <w:rsid w:val="002E4A2F"/>
    <w:rsid w:val="002E4F2F"/>
    <w:rsid w:val="002E5072"/>
    <w:rsid w:val="002E6252"/>
    <w:rsid w:val="002E7D8B"/>
    <w:rsid w:val="002F0011"/>
    <w:rsid w:val="002F0E06"/>
    <w:rsid w:val="002F4B6A"/>
    <w:rsid w:val="002F6ED3"/>
    <w:rsid w:val="002F70C3"/>
    <w:rsid w:val="00301A20"/>
    <w:rsid w:val="00301B06"/>
    <w:rsid w:val="00302826"/>
    <w:rsid w:val="00303845"/>
    <w:rsid w:val="003047B2"/>
    <w:rsid w:val="0030494B"/>
    <w:rsid w:val="0030624B"/>
    <w:rsid w:val="00306580"/>
    <w:rsid w:val="00307595"/>
    <w:rsid w:val="003077FE"/>
    <w:rsid w:val="003078E8"/>
    <w:rsid w:val="00311133"/>
    <w:rsid w:val="003119A4"/>
    <w:rsid w:val="003146FE"/>
    <w:rsid w:val="00315711"/>
    <w:rsid w:val="00316D63"/>
    <w:rsid w:val="00316F6D"/>
    <w:rsid w:val="003176D4"/>
    <w:rsid w:val="0032069A"/>
    <w:rsid w:val="00321E47"/>
    <w:rsid w:val="00322226"/>
    <w:rsid w:val="003226DE"/>
    <w:rsid w:val="00323715"/>
    <w:rsid w:val="003250D6"/>
    <w:rsid w:val="00325D67"/>
    <w:rsid w:val="00326B31"/>
    <w:rsid w:val="003302F2"/>
    <w:rsid w:val="003309FD"/>
    <w:rsid w:val="00330D5E"/>
    <w:rsid w:val="0033145A"/>
    <w:rsid w:val="00331D55"/>
    <w:rsid w:val="003334A5"/>
    <w:rsid w:val="00334A79"/>
    <w:rsid w:val="0033677A"/>
    <w:rsid w:val="00337DE6"/>
    <w:rsid w:val="00340945"/>
    <w:rsid w:val="00342F09"/>
    <w:rsid w:val="00342F3D"/>
    <w:rsid w:val="00345637"/>
    <w:rsid w:val="00347069"/>
    <w:rsid w:val="0035027F"/>
    <w:rsid w:val="00350FC8"/>
    <w:rsid w:val="00352B5B"/>
    <w:rsid w:val="00352ECB"/>
    <w:rsid w:val="00353A6F"/>
    <w:rsid w:val="0035550E"/>
    <w:rsid w:val="00355AA6"/>
    <w:rsid w:val="003603EB"/>
    <w:rsid w:val="0036057B"/>
    <w:rsid w:val="003620F6"/>
    <w:rsid w:val="00362ED5"/>
    <w:rsid w:val="00363DB9"/>
    <w:rsid w:val="0036405A"/>
    <w:rsid w:val="00364336"/>
    <w:rsid w:val="00366012"/>
    <w:rsid w:val="00366150"/>
    <w:rsid w:val="003674F5"/>
    <w:rsid w:val="003705C5"/>
    <w:rsid w:val="00370FA6"/>
    <w:rsid w:val="003728DB"/>
    <w:rsid w:val="003743BF"/>
    <w:rsid w:val="00374A9F"/>
    <w:rsid w:val="003760CB"/>
    <w:rsid w:val="0038150F"/>
    <w:rsid w:val="003857C6"/>
    <w:rsid w:val="00385B50"/>
    <w:rsid w:val="003867B2"/>
    <w:rsid w:val="00386AB0"/>
    <w:rsid w:val="00387574"/>
    <w:rsid w:val="00387B7E"/>
    <w:rsid w:val="00390F9A"/>
    <w:rsid w:val="00392610"/>
    <w:rsid w:val="00392A96"/>
    <w:rsid w:val="0039318B"/>
    <w:rsid w:val="00393B32"/>
    <w:rsid w:val="00394217"/>
    <w:rsid w:val="00395024"/>
    <w:rsid w:val="00396B21"/>
    <w:rsid w:val="003A16C4"/>
    <w:rsid w:val="003A27C3"/>
    <w:rsid w:val="003A3D16"/>
    <w:rsid w:val="003A58AB"/>
    <w:rsid w:val="003A7F35"/>
    <w:rsid w:val="003B1368"/>
    <w:rsid w:val="003B1622"/>
    <w:rsid w:val="003B1FC7"/>
    <w:rsid w:val="003B48BD"/>
    <w:rsid w:val="003B5F48"/>
    <w:rsid w:val="003B6185"/>
    <w:rsid w:val="003B6B83"/>
    <w:rsid w:val="003B754D"/>
    <w:rsid w:val="003C035C"/>
    <w:rsid w:val="003C0CB3"/>
    <w:rsid w:val="003C0CC6"/>
    <w:rsid w:val="003C13D5"/>
    <w:rsid w:val="003C3B0A"/>
    <w:rsid w:val="003C6810"/>
    <w:rsid w:val="003C7346"/>
    <w:rsid w:val="003C7D90"/>
    <w:rsid w:val="003C7E7D"/>
    <w:rsid w:val="003D0704"/>
    <w:rsid w:val="003D62F7"/>
    <w:rsid w:val="003D65E7"/>
    <w:rsid w:val="003E01B9"/>
    <w:rsid w:val="003E1ADE"/>
    <w:rsid w:val="003E38E3"/>
    <w:rsid w:val="003E3C9F"/>
    <w:rsid w:val="003E3D5F"/>
    <w:rsid w:val="003E4049"/>
    <w:rsid w:val="003E445F"/>
    <w:rsid w:val="003E5497"/>
    <w:rsid w:val="003E7CA3"/>
    <w:rsid w:val="003F3862"/>
    <w:rsid w:val="003F3E27"/>
    <w:rsid w:val="003F4529"/>
    <w:rsid w:val="003F5CCF"/>
    <w:rsid w:val="003F5E5A"/>
    <w:rsid w:val="0040000B"/>
    <w:rsid w:val="00400A79"/>
    <w:rsid w:val="00402991"/>
    <w:rsid w:val="004051AF"/>
    <w:rsid w:val="00405C73"/>
    <w:rsid w:val="00406C1F"/>
    <w:rsid w:val="00406EA3"/>
    <w:rsid w:val="00406EB7"/>
    <w:rsid w:val="0040711C"/>
    <w:rsid w:val="004105F8"/>
    <w:rsid w:val="004116B2"/>
    <w:rsid w:val="0041178F"/>
    <w:rsid w:val="004122E0"/>
    <w:rsid w:val="00413B4A"/>
    <w:rsid w:val="00414084"/>
    <w:rsid w:val="00415A4A"/>
    <w:rsid w:val="004164C0"/>
    <w:rsid w:val="0041771A"/>
    <w:rsid w:val="0041799A"/>
    <w:rsid w:val="00422020"/>
    <w:rsid w:val="00424A37"/>
    <w:rsid w:val="0042629B"/>
    <w:rsid w:val="00426A97"/>
    <w:rsid w:val="00426CCA"/>
    <w:rsid w:val="0042701F"/>
    <w:rsid w:val="004271D2"/>
    <w:rsid w:val="004276AC"/>
    <w:rsid w:val="00427804"/>
    <w:rsid w:val="0043027D"/>
    <w:rsid w:val="004303BB"/>
    <w:rsid w:val="0043062E"/>
    <w:rsid w:val="00430EE8"/>
    <w:rsid w:val="004319C1"/>
    <w:rsid w:val="004319EC"/>
    <w:rsid w:val="00431A67"/>
    <w:rsid w:val="00431BA8"/>
    <w:rsid w:val="00431E65"/>
    <w:rsid w:val="00432F00"/>
    <w:rsid w:val="004341F8"/>
    <w:rsid w:val="00434DBE"/>
    <w:rsid w:val="00437103"/>
    <w:rsid w:val="004373BF"/>
    <w:rsid w:val="004377C8"/>
    <w:rsid w:val="00440E08"/>
    <w:rsid w:val="0044158B"/>
    <w:rsid w:val="00441870"/>
    <w:rsid w:val="00441A7A"/>
    <w:rsid w:val="00442233"/>
    <w:rsid w:val="004428C2"/>
    <w:rsid w:val="0044311F"/>
    <w:rsid w:val="00443AC7"/>
    <w:rsid w:val="0044554D"/>
    <w:rsid w:val="00445CA3"/>
    <w:rsid w:val="00446303"/>
    <w:rsid w:val="00447EBF"/>
    <w:rsid w:val="0045192E"/>
    <w:rsid w:val="00452786"/>
    <w:rsid w:val="00453826"/>
    <w:rsid w:val="00454347"/>
    <w:rsid w:val="00455D3F"/>
    <w:rsid w:val="00456FB7"/>
    <w:rsid w:val="00457C75"/>
    <w:rsid w:val="00457CFD"/>
    <w:rsid w:val="00460371"/>
    <w:rsid w:val="00460A41"/>
    <w:rsid w:val="00461A4F"/>
    <w:rsid w:val="00462D1E"/>
    <w:rsid w:val="00464D21"/>
    <w:rsid w:val="00465D4D"/>
    <w:rsid w:val="00467B04"/>
    <w:rsid w:val="004701FA"/>
    <w:rsid w:val="004747E4"/>
    <w:rsid w:val="004756B5"/>
    <w:rsid w:val="004767E6"/>
    <w:rsid w:val="00477852"/>
    <w:rsid w:val="00481A20"/>
    <w:rsid w:val="00482021"/>
    <w:rsid w:val="004849E6"/>
    <w:rsid w:val="00491D79"/>
    <w:rsid w:val="00492CF5"/>
    <w:rsid w:val="00493ABD"/>
    <w:rsid w:val="00493CC9"/>
    <w:rsid w:val="00493DE7"/>
    <w:rsid w:val="00495AF8"/>
    <w:rsid w:val="004A1A79"/>
    <w:rsid w:val="004A23E4"/>
    <w:rsid w:val="004A261F"/>
    <w:rsid w:val="004A33B4"/>
    <w:rsid w:val="004A3F83"/>
    <w:rsid w:val="004A43D8"/>
    <w:rsid w:val="004A57C2"/>
    <w:rsid w:val="004A5C53"/>
    <w:rsid w:val="004A637B"/>
    <w:rsid w:val="004A6F88"/>
    <w:rsid w:val="004B0820"/>
    <w:rsid w:val="004B08D7"/>
    <w:rsid w:val="004B0AEF"/>
    <w:rsid w:val="004B1E68"/>
    <w:rsid w:val="004B6452"/>
    <w:rsid w:val="004B65AC"/>
    <w:rsid w:val="004B6AC1"/>
    <w:rsid w:val="004C0F6F"/>
    <w:rsid w:val="004C4C20"/>
    <w:rsid w:val="004C6319"/>
    <w:rsid w:val="004C6441"/>
    <w:rsid w:val="004C777B"/>
    <w:rsid w:val="004C7C09"/>
    <w:rsid w:val="004D06AF"/>
    <w:rsid w:val="004D1B73"/>
    <w:rsid w:val="004D1D07"/>
    <w:rsid w:val="004D26CF"/>
    <w:rsid w:val="004D613F"/>
    <w:rsid w:val="004D635F"/>
    <w:rsid w:val="004D6B0D"/>
    <w:rsid w:val="004D6B40"/>
    <w:rsid w:val="004D6F59"/>
    <w:rsid w:val="004D7AB3"/>
    <w:rsid w:val="004D7ACE"/>
    <w:rsid w:val="004E17CB"/>
    <w:rsid w:val="004E43DA"/>
    <w:rsid w:val="004E4400"/>
    <w:rsid w:val="004E705E"/>
    <w:rsid w:val="004E73DD"/>
    <w:rsid w:val="004E7CBE"/>
    <w:rsid w:val="004F0E7D"/>
    <w:rsid w:val="004F1547"/>
    <w:rsid w:val="004F1D82"/>
    <w:rsid w:val="004F3034"/>
    <w:rsid w:val="004F414C"/>
    <w:rsid w:val="004F7C14"/>
    <w:rsid w:val="00501469"/>
    <w:rsid w:val="00501573"/>
    <w:rsid w:val="005044C7"/>
    <w:rsid w:val="00504505"/>
    <w:rsid w:val="00506084"/>
    <w:rsid w:val="00506376"/>
    <w:rsid w:val="00506E48"/>
    <w:rsid w:val="00506FF9"/>
    <w:rsid w:val="005113AE"/>
    <w:rsid w:val="00512103"/>
    <w:rsid w:val="0051240D"/>
    <w:rsid w:val="00512B75"/>
    <w:rsid w:val="005133F0"/>
    <w:rsid w:val="00513CDD"/>
    <w:rsid w:val="00514CB2"/>
    <w:rsid w:val="00515BE3"/>
    <w:rsid w:val="005202C7"/>
    <w:rsid w:val="00520A2A"/>
    <w:rsid w:val="00520EE2"/>
    <w:rsid w:val="00524170"/>
    <w:rsid w:val="005243C1"/>
    <w:rsid w:val="005243C2"/>
    <w:rsid w:val="0052444C"/>
    <w:rsid w:val="00524C9A"/>
    <w:rsid w:val="00525774"/>
    <w:rsid w:val="0052582F"/>
    <w:rsid w:val="00525B24"/>
    <w:rsid w:val="00532EF8"/>
    <w:rsid w:val="0053320E"/>
    <w:rsid w:val="0053430F"/>
    <w:rsid w:val="0053497E"/>
    <w:rsid w:val="005360D9"/>
    <w:rsid w:val="00537022"/>
    <w:rsid w:val="0054005A"/>
    <w:rsid w:val="005409BC"/>
    <w:rsid w:val="00540F44"/>
    <w:rsid w:val="00542904"/>
    <w:rsid w:val="00543A0A"/>
    <w:rsid w:val="00544922"/>
    <w:rsid w:val="00544A27"/>
    <w:rsid w:val="00544A8F"/>
    <w:rsid w:val="00545075"/>
    <w:rsid w:val="00546B20"/>
    <w:rsid w:val="00546FAD"/>
    <w:rsid w:val="00551916"/>
    <w:rsid w:val="00553358"/>
    <w:rsid w:val="0055560D"/>
    <w:rsid w:val="00555EF0"/>
    <w:rsid w:val="00560D34"/>
    <w:rsid w:val="00560E26"/>
    <w:rsid w:val="00561542"/>
    <w:rsid w:val="00561A76"/>
    <w:rsid w:val="00561C16"/>
    <w:rsid w:val="00562D88"/>
    <w:rsid w:val="00563108"/>
    <w:rsid w:val="00563493"/>
    <w:rsid w:val="005707EE"/>
    <w:rsid w:val="0057119B"/>
    <w:rsid w:val="00571BDC"/>
    <w:rsid w:val="00572875"/>
    <w:rsid w:val="00576E53"/>
    <w:rsid w:val="005807B6"/>
    <w:rsid w:val="005815A1"/>
    <w:rsid w:val="00584BD9"/>
    <w:rsid w:val="00585992"/>
    <w:rsid w:val="0058607F"/>
    <w:rsid w:val="005865C5"/>
    <w:rsid w:val="0058770E"/>
    <w:rsid w:val="00590782"/>
    <w:rsid w:val="00591178"/>
    <w:rsid w:val="005945FB"/>
    <w:rsid w:val="00594B16"/>
    <w:rsid w:val="00595EB1"/>
    <w:rsid w:val="005977D9"/>
    <w:rsid w:val="005A1278"/>
    <w:rsid w:val="005A1683"/>
    <w:rsid w:val="005A1AB3"/>
    <w:rsid w:val="005A21BB"/>
    <w:rsid w:val="005A2E79"/>
    <w:rsid w:val="005A2E84"/>
    <w:rsid w:val="005A3DE3"/>
    <w:rsid w:val="005A665E"/>
    <w:rsid w:val="005A6D83"/>
    <w:rsid w:val="005A6F23"/>
    <w:rsid w:val="005A7568"/>
    <w:rsid w:val="005A77F8"/>
    <w:rsid w:val="005B132E"/>
    <w:rsid w:val="005B1348"/>
    <w:rsid w:val="005B3842"/>
    <w:rsid w:val="005B42B4"/>
    <w:rsid w:val="005B53EA"/>
    <w:rsid w:val="005B5D59"/>
    <w:rsid w:val="005B6359"/>
    <w:rsid w:val="005B64C5"/>
    <w:rsid w:val="005B7BF6"/>
    <w:rsid w:val="005C223D"/>
    <w:rsid w:val="005C3095"/>
    <w:rsid w:val="005C3714"/>
    <w:rsid w:val="005C588A"/>
    <w:rsid w:val="005C593F"/>
    <w:rsid w:val="005C5B14"/>
    <w:rsid w:val="005C7E52"/>
    <w:rsid w:val="005D3E5E"/>
    <w:rsid w:val="005D7F97"/>
    <w:rsid w:val="005E1E5C"/>
    <w:rsid w:val="005E1E94"/>
    <w:rsid w:val="005E2ABE"/>
    <w:rsid w:val="005E2B53"/>
    <w:rsid w:val="005E3997"/>
    <w:rsid w:val="005E44EA"/>
    <w:rsid w:val="005E523A"/>
    <w:rsid w:val="005E6649"/>
    <w:rsid w:val="005F06FD"/>
    <w:rsid w:val="005F07D0"/>
    <w:rsid w:val="005F1130"/>
    <w:rsid w:val="005F126E"/>
    <w:rsid w:val="005F14AC"/>
    <w:rsid w:val="005F2434"/>
    <w:rsid w:val="005F26E8"/>
    <w:rsid w:val="005F352A"/>
    <w:rsid w:val="005F364F"/>
    <w:rsid w:val="005F3FD4"/>
    <w:rsid w:val="005F40EE"/>
    <w:rsid w:val="005F477D"/>
    <w:rsid w:val="005F4A05"/>
    <w:rsid w:val="005F7E0B"/>
    <w:rsid w:val="00602253"/>
    <w:rsid w:val="00602D32"/>
    <w:rsid w:val="006030AF"/>
    <w:rsid w:val="006037B6"/>
    <w:rsid w:val="00604026"/>
    <w:rsid w:val="00604039"/>
    <w:rsid w:val="00605F4C"/>
    <w:rsid w:val="00606094"/>
    <w:rsid w:val="00610A4D"/>
    <w:rsid w:val="00610CE5"/>
    <w:rsid w:val="00611B30"/>
    <w:rsid w:val="006130B3"/>
    <w:rsid w:val="0061477F"/>
    <w:rsid w:val="00615CE3"/>
    <w:rsid w:val="00615E49"/>
    <w:rsid w:val="00615EE4"/>
    <w:rsid w:val="00615FA4"/>
    <w:rsid w:val="006177FD"/>
    <w:rsid w:val="00620258"/>
    <w:rsid w:val="006211DC"/>
    <w:rsid w:val="0062153C"/>
    <w:rsid w:val="00621DE8"/>
    <w:rsid w:val="006220E9"/>
    <w:rsid w:val="00623A4B"/>
    <w:rsid w:val="006256E8"/>
    <w:rsid w:val="00626921"/>
    <w:rsid w:val="006272A1"/>
    <w:rsid w:val="00633050"/>
    <w:rsid w:val="00633A58"/>
    <w:rsid w:val="00636C22"/>
    <w:rsid w:val="00636E75"/>
    <w:rsid w:val="00642E71"/>
    <w:rsid w:val="00642F7D"/>
    <w:rsid w:val="00643115"/>
    <w:rsid w:val="00643BA2"/>
    <w:rsid w:val="00645F91"/>
    <w:rsid w:val="0064760C"/>
    <w:rsid w:val="0065148D"/>
    <w:rsid w:val="00651BD8"/>
    <w:rsid w:val="006521C4"/>
    <w:rsid w:val="00653618"/>
    <w:rsid w:val="006546DA"/>
    <w:rsid w:val="00654706"/>
    <w:rsid w:val="0066242F"/>
    <w:rsid w:val="00662D4E"/>
    <w:rsid w:val="00664683"/>
    <w:rsid w:val="00665B0B"/>
    <w:rsid w:val="00666D5A"/>
    <w:rsid w:val="00671B0D"/>
    <w:rsid w:val="00671B16"/>
    <w:rsid w:val="00672242"/>
    <w:rsid w:val="00672DDA"/>
    <w:rsid w:val="00675F3D"/>
    <w:rsid w:val="0067723F"/>
    <w:rsid w:val="00677354"/>
    <w:rsid w:val="00680137"/>
    <w:rsid w:val="00680B10"/>
    <w:rsid w:val="00684866"/>
    <w:rsid w:val="00686D86"/>
    <w:rsid w:val="00687973"/>
    <w:rsid w:val="0069009A"/>
    <w:rsid w:val="00690685"/>
    <w:rsid w:val="00693483"/>
    <w:rsid w:val="00694AAD"/>
    <w:rsid w:val="00695C2C"/>
    <w:rsid w:val="00695D8F"/>
    <w:rsid w:val="00695DE7"/>
    <w:rsid w:val="006962B4"/>
    <w:rsid w:val="00696BB5"/>
    <w:rsid w:val="00696F9E"/>
    <w:rsid w:val="006A1329"/>
    <w:rsid w:val="006A48D1"/>
    <w:rsid w:val="006A6910"/>
    <w:rsid w:val="006A70C9"/>
    <w:rsid w:val="006A7BD6"/>
    <w:rsid w:val="006B47E9"/>
    <w:rsid w:val="006B4AB6"/>
    <w:rsid w:val="006B4FCE"/>
    <w:rsid w:val="006B728B"/>
    <w:rsid w:val="006C074B"/>
    <w:rsid w:val="006C0848"/>
    <w:rsid w:val="006C0D26"/>
    <w:rsid w:val="006C12FE"/>
    <w:rsid w:val="006C35D7"/>
    <w:rsid w:val="006C3E0E"/>
    <w:rsid w:val="006C5CDF"/>
    <w:rsid w:val="006D07CE"/>
    <w:rsid w:val="006D1010"/>
    <w:rsid w:val="006D4C12"/>
    <w:rsid w:val="006D501A"/>
    <w:rsid w:val="006D5FF7"/>
    <w:rsid w:val="006D6A5F"/>
    <w:rsid w:val="006D7371"/>
    <w:rsid w:val="006E0DFC"/>
    <w:rsid w:val="006E18FE"/>
    <w:rsid w:val="006E4120"/>
    <w:rsid w:val="006E5730"/>
    <w:rsid w:val="006E5BDA"/>
    <w:rsid w:val="006E5EAB"/>
    <w:rsid w:val="006E69E3"/>
    <w:rsid w:val="006F0C53"/>
    <w:rsid w:val="006F29EF"/>
    <w:rsid w:val="006F3A16"/>
    <w:rsid w:val="006F4511"/>
    <w:rsid w:val="006F5F81"/>
    <w:rsid w:val="006F7525"/>
    <w:rsid w:val="006F7595"/>
    <w:rsid w:val="006F7C73"/>
    <w:rsid w:val="00700DAE"/>
    <w:rsid w:val="00702E50"/>
    <w:rsid w:val="0070415B"/>
    <w:rsid w:val="00705CF9"/>
    <w:rsid w:val="00706D33"/>
    <w:rsid w:val="00707614"/>
    <w:rsid w:val="00710296"/>
    <w:rsid w:val="00710B4D"/>
    <w:rsid w:val="00710B65"/>
    <w:rsid w:val="00713CB3"/>
    <w:rsid w:val="00721877"/>
    <w:rsid w:val="00722D65"/>
    <w:rsid w:val="00731E99"/>
    <w:rsid w:val="00731EF5"/>
    <w:rsid w:val="00731FE8"/>
    <w:rsid w:val="0073210B"/>
    <w:rsid w:val="00733D76"/>
    <w:rsid w:val="00737111"/>
    <w:rsid w:val="00741836"/>
    <w:rsid w:val="007419DB"/>
    <w:rsid w:val="007455FD"/>
    <w:rsid w:val="007462F3"/>
    <w:rsid w:val="007513D3"/>
    <w:rsid w:val="00752A13"/>
    <w:rsid w:val="00752A19"/>
    <w:rsid w:val="007534C3"/>
    <w:rsid w:val="00753BA3"/>
    <w:rsid w:val="00753F1D"/>
    <w:rsid w:val="007547EE"/>
    <w:rsid w:val="007553B6"/>
    <w:rsid w:val="00757203"/>
    <w:rsid w:val="00760325"/>
    <w:rsid w:val="00761352"/>
    <w:rsid w:val="00761F8D"/>
    <w:rsid w:val="0076725B"/>
    <w:rsid w:val="00770956"/>
    <w:rsid w:val="00770EA3"/>
    <w:rsid w:val="00771BEC"/>
    <w:rsid w:val="00771DD4"/>
    <w:rsid w:val="007740EE"/>
    <w:rsid w:val="007742C8"/>
    <w:rsid w:val="00774485"/>
    <w:rsid w:val="00774E4E"/>
    <w:rsid w:val="00776A9A"/>
    <w:rsid w:val="00780438"/>
    <w:rsid w:val="00781647"/>
    <w:rsid w:val="00783ADC"/>
    <w:rsid w:val="00783D0C"/>
    <w:rsid w:val="0078435A"/>
    <w:rsid w:val="00784B65"/>
    <w:rsid w:val="00785BEA"/>
    <w:rsid w:val="007915BE"/>
    <w:rsid w:val="007919DB"/>
    <w:rsid w:val="00791A97"/>
    <w:rsid w:val="007923FC"/>
    <w:rsid w:val="007939BA"/>
    <w:rsid w:val="007949F4"/>
    <w:rsid w:val="00794E42"/>
    <w:rsid w:val="0079622F"/>
    <w:rsid w:val="0079694A"/>
    <w:rsid w:val="007975B6"/>
    <w:rsid w:val="007A0FC3"/>
    <w:rsid w:val="007A158D"/>
    <w:rsid w:val="007A1B37"/>
    <w:rsid w:val="007A6CDE"/>
    <w:rsid w:val="007A714E"/>
    <w:rsid w:val="007A7FDB"/>
    <w:rsid w:val="007B0021"/>
    <w:rsid w:val="007B049B"/>
    <w:rsid w:val="007B05B0"/>
    <w:rsid w:val="007B12B1"/>
    <w:rsid w:val="007B2619"/>
    <w:rsid w:val="007B384B"/>
    <w:rsid w:val="007B4CBB"/>
    <w:rsid w:val="007B5E46"/>
    <w:rsid w:val="007B5FB8"/>
    <w:rsid w:val="007C01F2"/>
    <w:rsid w:val="007C0717"/>
    <w:rsid w:val="007C0FEF"/>
    <w:rsid w:val="007C1B8B"/>
    <w:rsid w:val="007C233F"/>
    <w:rsid w:val="007C3A05"/>
    <w:rsid w:val="007C5A19"/>
    <w:rsid w:val="007C7889"/>
    <w:rsid w:val="007D2096"/>
    <w:rsid w:val="007D2CF0"/>
    <w:rsid w:val="007D4DB4"/>
    <w:rsid w:val="007D7479"/>
    <w:rsid w:val="007E0D67"/>
    <w:rsid w:val="007E11BB"/>
    <w:rsid w:val="007E59DB"/>
    <w:rsid w:val="007E60E7"/>
    <w:rsid w:val="007E627B"/>
    <w:rsid w:val="007F00EA"/>
    <w:rsid w:val="007F2CBA"/>
    <w:rsid w:val="007F3CE1"/>
    <w:rsid w:val="007F5D4B"/>
    <w:rsid w:val="007F68AF"/>
    <w:rsid w:val="00806E3A"/>
    <w:rsid w:val="00807609"/>
    <w:rsid w:val="00815516"/>
    <w:rsid w:val="00816412"/>
    <w:rsid w:val="00817387"/>
    <w:rsid w:val="0081749D"/>
    <w:rsid w:val="00817E7E"/>
    <w:rsid w:val="00817EB1"/>
    <w:rsid w:val="00820432"/>
    <w:rsid w:val="0082153B"/>
    <w:rsid w:val="00821F67"/>
    <w:rsid w:val="00822997"/>
    <w:rsid w:val="00827A03"/>
    <w:rsid w:val="008322AF"/>
    <w:rsid w:val="00832BFA"/>
    <w:rsid w:val="008407EC"/>
    <w:rsid w:val="00840B72"/>
    <w:rsid w:val="008425FD"/>
    <w:rsid w:val="00843718"/>
    <w:rsid w:val="00843EC5"/>
    <w:rsid w:val="00844117"/>
    <w:rsid w:val="008443C1"/>
    <w:rsid w:val="008444D3"/>
    <w:rsid w:val="00844682"/>
    <w:rsid w:val="008466AD"/>
    <w:rsid w:val="008514EC"/>
    <w:rsid w:val="00851B84"/>
    <w:rsid w:val="008529DE"/>
    <w:rsid w:val="0085332A"/>
    <w:rsid w:val="00854D49"/>
    <w:rsid w:val="00855F7A"/>
    <w:rsid w:val="00856662"/>
    <w:rsid w:val="00857A02"/>
    <w:rsid w:val="00857A0A"/>
    <w:rsid w:val="0086041E"/>
    <w:rsid w:val="00861F50"/>
    <w:rsid w:val="00862469"/>
    <w:rsid w:val="00862E61"/>
    <w:rsid w:val="0086393E"/>
    <w:rsid w:val="008648A9"/>
    <w:rsid w:val="00865233"/>
    <w:rsid w:val="00865ECD"/>
    <w:rsid w:val="00867BA3"/>
    <w:rsid w:val="0087212C"/>
    <w:rsid w:val="00874B2E"/>
    <w:rsid w:val="00874B84"/>
    <w:rsid w:val="008757DF"/>
    <w:rsid w:val="0087594B"/>
    <w:rsid w:val="00875B31"/>
    <w:rsid w:val="0087605F"/>
    <w:rsid w:val="008769A0"/>
    <w:rsid w:val="00877D9B"/>
    <w:rsid w:val="00882E6F"/>
    <w:rsid w:val="008835F1"/>
    <w:rsid w:val="008837E2"/>
    <w:rsid w:val="00883DB2"/>
    <w:rsid w:val="008842C2"/>
    <w:rsid w:val="00884B58"/>
    <w:rsid w:val="008862BA"/>
    <w:rsid w:val="0088640D"/>
    <w:rsid w:val="00890486"/>
    <w:rsid w:val="0089113B"/>
    <w:rsid w:val="00891279"/>
    <w:rsid w:val="00892177"/>
    <w:rsid w:val="00896615"/>
    <w:rsid w:val="008A1A00"/>
    <w:rsid w:val="008A2704"/>
    <w:rsid w:val="008A339D"/>
    <w:rsid w:val="008A39D0"/>
    <w:rsid w:val="008A3D72"/>
    <w:rsid w:val="008A4B90"/>
    <w:rsid w:val="008A4DB0"/>
    <w:rsid w:val="008A4F9D"/>
    <w:rsid w:val="008A53C3"/>
    <w:rsid w:val="008A6115"/>
    <w:rsid w:val="008B00D0"/>
    <w:rsid w:val="008B1442"/>
    <w:rsid w:val="008B1B54"/>
    <w:rsid w:val="008B3003"/>
    <w:rsid w:val="008B4726"/>
    <w:rsid w:val="008B531A"/>
    <w:rsid w:val="008B5801"/>
    <w:rsid w:val="008B6033"/>
    <w:rsid w:val="008B74F6"/>
    <w:rsid w:val="008B7A72"/>
    <w:rsid w:val="008C17F0"/>
    <w:rsid w:val="008C1DB9"/>
    <w:rsid w:val="008C288E"/>
    <w:rsid w:val="008C33E1"/>
    <w:rsid w:val="008C3900"/>
    <w:rsid w:val="008C477A"/>
    <w:rsid w:val="008C5E45"/>
    <w:rsid w:val="008D00F4"/>
    <w:rsid w:val="008D11F4"/>
    <w:rsid w:val="008D1E39"/>
    <w:rsid w:val="008D2690"/>
    <w:rsid w:val="008D3ADD"/>
    <w:rsid w:val="008D436F"/>
    <w:rsid w:val="008D51E2"/>
    <w:rsid w:val="008D7CA2"/>
    <w:rsid w:val="008E08E1"/>
    <w:rsid w:val="008E1C31"/>
    <w:rsid w:val="008E3411"/>
    <w:rsid w:val="008E48F8"/>
    <w:rsid w:val="008E5EA4"/>
    <w:rsid w:val="008E7B2B"/>
    <w:rsid w:val="008F071D"/>
    <w:rsid w:val="008F484C"/>
    <w:rsid w:val="008F4ADA"/>
    <w:rsid w:val="008F4FC8"/>
    <w:rsid w:val="008F4FD7"/>
    <w:rsid w:val="008F5087"/>
    <w:rsid w:val="008F5A77"/>
    <w:rsid w:val="009013E9"/>
    <w:rsid w:val="00902CC8"/>
    <w:rsid w:val="0090301A"/>
    <w:rsid w:val="0090354A"/>
    <w:rsid w:val="00903732"/>
    <w:rsid w:val="00903A83"/>
    <w:rsid w:val="00904581"/>
    <w:rsid w:val="009072B7"/>
    <w:rsid w:val="00913194"/>
    <w:rsid w:val="0091407A"/>
    <w:rsid w:val="009149F6"/>
    <w:rsid w:val="00914C12"/>
    <w:rsid w:val="0091693E"/>
    <w:rsid w:val="00921282"/>
    <w:rsid w:val="00921435"/>
    <w:rsid w:val="009216EB"/>
    <w:rsid w:val="00924289"/>
    <w:rsid w:val="009257EE"/>
    <w:rsid w:val="0092648B"/>
    <w:rsid w:val="0092676F"/>
    <w:rsid w:val="00927E75"/>
    <w:rsid w:val="009309CB"/>
    <w:rsid w:val="00932982"/>
    <w:rsid w:val="00932B14"/>
    <w:rsid w:val="009332EC"/>
    <w:rsid w:val="00933F89"/>
    <w:rsid w:val="0093455A"/>
    <w:rsid w:val="00934DC9"/>
    <w:rsid w:val="00935076"/>
    <w:rsid w:val="00935083"/>
    <w:rsid w:val="00935EC4"/>
    <w:rsid w:val="009368AC"/>
    <w:rsid w:val="00936F13"/>
    <w:rsid w:val="0094463A"/>
    <w:rsid w:val="00944F6A"/>
    <w:rsid w:val="00945224"/>
    <w:rsid w:val="00945D44"/>
    <w:rsid w:val="00946FD6"/>
    <w:rsid w:val="009473F6"/>
    <w:rsid w:val="00947E7B"/>
    <w:rsid w:val="00947ED2"/>
    <w:rsid w:val="009505B1"/>
    <w:rsid w:val="00950883"/>
    <w:rsid w:val="00951286"/>
    <w:rsid w:val="009532E2"/>
    <w:rsid w:val="00953791"/>
    <w:rsid w:val="00954DB0"/>
    <w:rsid w:val="00956588"/>
    <w:rsid w:val="00957BC7"/>
    <w:rsid w:val="00960DEA"/>
    <w:rsid w:val="009624A8"/>
    <w:rsid w:val="00962CB1"/>
    <w:rsid w:val="0096374C"/>
    <w:rsid w:val="00964670"/>
    <w:rsid w:val="009656B9"/>
    <w:rsid w:val="0096640D"/>
    <w:rsid w:val="00966C39"/>
    <w:rsid w:val="00972855"/>
    <w:rsid w:val="009729E6"/>
    <w:rsid w:val="00973358"/>
    <w:rsid w:val="00973459"/>
    <w:rsid w:val="00974B46"/>
    <w:rsid w:val="009753DE"/>
    <w:rsid w:val="00975CC0"/>
    <w:rsid w:val="009769CD"/>
    <w:rsid w:val="00980DCE"/>
    <w:rsid w:val="0098379B"/>
    <w:rsid w:val="009859DE"/>
    <w:rsid w:val="009873AB"/>
    <w:rsid w:val="00990134"/>
    <w:rsid w:val="009906CE"/>
    <w:rsid w:val="00990DF7"/>
    <w:rsid w:val="009952AD"/>
    <w:rsid w:val="00996155"/>
    <w:rsid w:val="00996B27"/>
    <w:rsid w:val="00997592"/>
    <w:rsid w:val="009A0EF9"/>
    <w:rsid w:val="009A1663"/>
    <w:rsid w:val="009A31DF"/>
    <w:rsid w:val="009A5311"/>
    <w:rsid w:val="009A59DD"/>
    <w:rsid w:val="009A5C12"/>
    <w:rsid w:val="009A631E"/>
    <w:rsid w:val="009A73A8"/>
    <w:rsid w:val="009B1DFD"/>
    <w:rsid w:val="009B242B"/>
    <w:rsid w:val="009B2F36"/>
    <w:rsid w:val="009B3B95"/>
    <w:rsid w:val="009B3D63"/>
    <w:rsid w:val="009B457D"/>
    <w:rsid w:val="009B48A6"/>
    <w:rsid w:val="009B50ED"/>
    <w:rsid w:val="009B57F5"/>
    <w:rsid w:val="009B595D"/>
    <w:rsid w:val="009B5ECD"/>
    <w:rsid w:val="009C0A1B"/>
    <w:rsid w:val="009C1FBC"/>
    <w:rsid w:val="009C2401"/>
    <w:rsid w:val="009C2FD7"/>
    <w:rsid w:val="009C3573"/>
    <w:rsid w:val="009C3B8D"/>
    <w:rsid w:val="009C6026"/>
    <w:rsid w:val="009D07CE"/>
    <w:rsid w:val="009D2355"/>
    <w:rsid w:val="009D2820"/>
    <w:rsid w:val="009D436D"/>
    <w:rsid w:val="009D4531"/>
    <w:rsid w:val="009D6298"/>
    <w:rsid w:val="009D6B24"/>
    <w:rsid w:val="009D6C13"/>
    <w:rsid w:val="009D70B3"/>
    <w:rsid w:val="009D7368"/>
    <w:rsid w:val="009E0815"/>
    <w:rsid w:val="009E1D4B"/>
    <w:rsid w:val="009E5D9C"/>
    <w:rsid w:val="009E671E"/>
    <w:rsid w:val="009E6DB3"/>
    <w:rsid w:val="009E73B5"/>
    <w:rsid w:val="009F0E7F"/>
    <w:rsid w:val="009F1A40"/>
    <w:rsid w:val="009F2A2D"/>
    <w:rsid w:val="009F37AA"/>
    <w:rsid w:val="009F3ACE"/>
    <w:rsid w:val="009F604B"/>
    <w:rsid w:val="009F6C0D"/>
    <w:rsid w:val="009F6E57"/>
    <w:rsid w:val="009F7660"/>
    <w:rsid w:val="009F797B"/>
    <w:rsid w:val="00A003B6"/>
    <w:rsid w:val="00A0068C"/>
    <w:rsid w:val="00A00806"/>
    <w:rsid w:val="00A009DB"/>
    <w:rsid w:val="00A00BF1"/>
    <w:rsid w:val="00A019CD"/>
    <w:rsid w:val="00A01C07"/>
    <w:rsid w:val="00A02DC7"/>
    <w:rsid w:val="00A033F6"/>
    <w:rsid w:val="00A04145"/>
    <w:rsid w:val="00A07027"/>
    <w:rsid w:val="00A07FEF"/>
    <w:rsid w:val="00A109AD"/>
    <w:rsid w:val="00A13CFB"/>
    <w:rsid w:val="00A22FA2"/>
    <w:rsid w:val="00A26778"/>
    <w:rsid w:val="00A268FD"/>
    <w:rsid w:val="00A26F90"/>
    <w:rsid w:val="00A349CD"/>
    <w:rsid w:val="00A35A02"/>
    <w:rsid w:val="00A36EB1"/>
    <w:rsid w:val="00A36FAF"/>
    <w:rsid w:val="00A37185"/>
    <w:rsid w:val="00A3797D"/>
    <w:rsid w:val="00A4137E"/>
    <w:rsid w:val="00A41EB9"/>
    <w:rsid w:val="00A43136"/>
    <w:rsid w:val="00A43535"/>
    <w:rsid w:val="00A44622"/>
    <w:rsid w:val="00A464A4"/>
    <w:rsid w:val="00A46D3B"/>
    <w:rsid w:val="00A47656"/>
    <w:rsid w:val="00A52322"/>
    <w:rsid w:val="00A53D8F"/>
    <w:rsid w:val="00A54821"/>
    <w:rsid w:val="00A554F5"/>
    <w:rsid w:val="00A56958"/>
    <w:rsid w:val="00A57982"/>
    <w:rsid w:val="00A57DE2"/>
    <w:rsid w:val="00A6332F"/>
    <w:rsid w:val="00A642D5"/>
    <w:rsid w:val="00A70306"/>
    <w:rsid w:val="00A71889"/>
    <w:rsid w:val="00A7256F"/>
    <w:rsid w:val="00A72DA8"/>
    <w:rsid w:val="00A7318F"/>
    <w:rsid w:val="00A74DE9"/>
    <w:rsid w:val="00A80680"/>
    <w:rsid w:val="00A84506"/>
    <w:rsid w:val="00A8775C"/>
    <w:rsid w:val="00A923ED"/>
    <w:rsid w:val="00A93CB4"/>
    <w:rsid w:val="00A941B9"/>
    <w:rsid w:val="00A9471B"/>
    <w:rsid w:val="00A97096"/>
    <w:rsid w:val="00A9743A"/>
    <w:rsid w:val="00AA00ED"/>
    <w:rsid w:val="00AA42B4"/>
    <w:rsid w:val="00AA4917"/>
    <w:rsid w:val="00AA4B12"/>
    <w:rsid w:val="00AA4FB5"/>
    <w:rsid w:val="00AB13A4"/>
    <w:rsid w:val="00AB1855"/>
    <w:rsid w:val="00AB28F6"/>
    <w:rsid w:val="00AB3D7E"/>
    <w:rsid w:val="00AB43F1"/>
    <w:rsid w:val="00AB478C"/>
    <w:rsid w:val="00AC0F96"/>
    <w:rsid w:val="00AC1323"/>
    <w:rsid w:val="00AC3126"/>
    <w:rsid w:val="00AC3ADE"/>
    <w:rsid w:val="00AC40CD"/>
    <w:rsid w:val="00AC41F2"/>
    <w:rsid w:val="00AC467B"/>
    <w:rsid w:val="00AD0468"/>
    <w:rsid w:val="00AD0473"/>
    <w:rsid w:val="00AD12C9"/>
    <w:rsid w:val="00AD1A8C"/>
    <w:rsid w:val="00AD560E"/>
    <w:rsid w:val="00AD60EF"/>
    <w:rsid w:val="00AD697E"/>
    <w:rsid w:val="00AD6A63"/>
    <w:rsid w:val="00AD71B6"/>
    <w:rsid w:val="00AE138F"/>
    <w:rsid w:val="00AE1A66"/>
    <w:rsid w:val="00AE23C4"/>
    <w:rsid w:val="00AE38D9"/>
    <w:rsid w:val="00AE3D08"/>
    <w:rsid w:val="00AE5213"/>
    <w:rsid w:val="00AE59CF"/>
    <w:rsid w:val="00AE5C84"/>
    <w:rsid w:val="00AE70F9"/>
    <w:rsid w:val="00AE729F"/>
    <w:rsid w:val="00AF2858"/>
    <w:rsid w:val="00AF5235"/>
    <w:rsid w:val="00AF57B9"/>
    <w:rsid w:val="00AF68FC"/>
    <w:rsid w:val="00B01D5F"/>
    <w:rsid w:val="00B0342F"/>
    <w:rsid w:val="00B05471"/>
    <w:rsid w:val="00B059C8"/>
    <w:rsid w:val="00B06F17"/>
    <w:rsid w:val="00B07388"/>
    <w:rsid w:val="00B07979"/>
    <w:rsid w:val="00B07D41"/>
    <w:rsid w:val="00B10181"/>
    <w:rsid w:val="00B10231"/>
    <w:rsid w:val="00B10387"/>
    <w:rsid w:val="00B10DF9"/>
    <w:rsid w:val="00B12F3A"/>
    <w:rsid w:val="00B144E3"/>
    <w:rsid w:val="00B1507C"/>
    <w:rsid w:val="00B165DD"/>
    <w:rsid w:val="00B1799A"/>
    <w:rsid w:val="00B2198E"/>
    <w:rsid w:val="00B21EEA"/>
    <w:rsid w:val="00B2257C"/>
    <w:rsid w:val="00B23472"/>
    <w:rsid w:val="00B254C4"/>
    <w:rsid w:val="00B27111"/>
    <w:rsid w:val="00B27436"/>
    <w:rsid w:val="00B315EE"/>
    <w:rsid w:val="00B32774"/>
    <w:rsid w:val="00B338E6"/>
    <w:rsid w:val="00B33CC9"/>
    <w:rsid w:val="00B34045"/>
    <w:rsid w:val="00B355C7"/>
    <w:rsid w:val="00B36B25"/>
    <w:rsid w:val="00B377D5"/>
    <w:rsid w:val="00B41201"/>
    <w:rsid w:val="00B41880"/>
    <w:rsid w:val="00B42883"/>
    <w:rsid w:val="00B42F93"/>
    <w:rsid w:val="00B46040"/>
    <w:rsid w:val="00B50C9A"/>
    <w:rsid w:val="00B528E7"/>
    <w:rsid w:val="00B54801"/>
    <w:rsid w:val="00B55852"/>
    <w:rsid w:val="00B56DC6"/>
    <w:rsid w:val="00B57CAA"/>
    <w:rsid w:val="00B604CD"/>
    <w:rsid w:val="00B615C2"/>
    <w:rsid w:val="00B61872"/>
    <w:rsid w:val="00B6454F"/>
    <w:rsid w:val="00B6609B"/>
    <w:rsid w:val="00B66187"/>
    <w:rsid w:val="00B66C5D"/>
    <w:rsid w:val="00B674C7"/>
    <w:rsid w:val="00B70772"/>
    <w:rsid w:val="00B70D3B"/>
    <w:rsid w:val="00B738D0"/>
    <w:rsid w:val="00B74F65"/>
    <w:rsid w:val="00B81BED"/>
    <w:rsid w:val="00B826FE"/>
    <w:rsid w:val="00B83B79"/>
    <w:rsid w:val="00B8583C"/>
    <w:rsid w:val="00B866C5"/>
    <w:rsid w:val="00B86749"/>
    <w:rsid w:val="00B8714F"/>
    <w:rsid w:val="00B90CAC"/>
    <w:rsid w:val="00B916C8"/>
    <w:rsid w:val="00B93B82"/>
    <w:rsid w:val="00B95454"/>
    <w:rsid w:val="00B96CEF"/>
    <w:rsid w:val="00BA33D3"/>
    <w:rsid w:val="00BA373D"/>
    <w:rsid w:val="00BA48E9"/>
    <w:rsid w:val="00BA52F0"/>
    <w:rsid w:val="00BA5B97"/>
    <w:rsid w:val="00BA5E51"/>
    <w:rsid w:val="00BA5F8A"/>
    <w:rsid w:val="00BA6CC5"/>
    <w:rsid w:val="00BA7831"/>
    <w:rsid w:val="00BB18F5"/>
    <w:rsid w:val="00BC01F1"/>
    <w:rsid w:val="00BC40F3"/>
    <w:rsid w:val="00BC449D"/>
    <w:rsid w:val="00BC4B9F"/>
    <w:rsid w:val="00BC5C77"/>
    <w:rsid w:val="00BC624D"/>
    <w:rsid w:val="00BC62E0"/>
    <w:rsid w:val="00BC7AEA"/>
    <w:rsid w:val="00BD0634"/>
    <w:rsid w:val="00BD0823"/>
    <w:rsid w:val="00BD11E6"/>
    <w:rsid w:val="00BD130F"/>
    <w:rsid w:val="00BD1654"/>
    <w:rsid w:val="00BD1FF9"/>
    <w:rsid w:val="00BD22FA"/>
    <w:rsid w:val="00BD2A80"/>
    <w:rsid w:val="00BD459C"/>
    <w:rsid w:val="00BD4B6C"/>
    <w:rsid w:val="00BD4C33"/>
    <w:rsid w:val="00BD5E46"/>
    <w:rsid w:val="00BD6721"/>
    <w:rsid w:val="00BD6B66"/>
    <w:rsid w:val="00BD76E3"/>
    <w:rsid w:val="00BD7FEB"/>
    <w:rsid w:val="00BE1C64"/>
    <w:rsid w:val="00BE5447"/>
    <w:rsid w:val="00BE5CDC"/>
    <w:rsid w:val="00BE7A0B"/>
    <w:rsid w:val="00BE7F2C"/>
    <w:rsid w:val="00BF2858"/>
    <w:rsid w:val="00BF2E37"/>
    <w:rsid w:val="00BF30D3"/>
    <w:rsid w:val="00BF327A"/>
    <w:rsid w:val="00BF505A"/>
    <w:rsid w:val="00BF6C36"/>
    <w:rsid w:val="00BF739C"/>
    <w:rsid w:val="00C011B5"/>
    <w:rsid w:val="00C01F7F"/>
    <w:rsid w:val="00C0240D"/>
    <w:rsid w:val="00C03247"/>
    <w:rsid w:val="00C03BFB"/>
    <w:rsid w:val="00C044B9"/>
    <w:rsid w:val="00C04DFF"/>
    <w:rsid w:val="00C06C20"/>
    <w:rsid w:val="00C06D80"/>
    <w:rsid w:val="00C0733D"/>
    <w:rsid w:val="00C07AB6"/>
    <w:rsid w:val="00C07EA2"/>
    <w:rsid w:val="00C116E6"/>
    <w:rsid w:val="00C11FFE"/>
    <w:rsid w:val="00C1332C"/>
    <w:rsid w:val="00C219D1"/>
    <w:rsid w:val="00C2387E"/>
    <w:rsid w:val="00C24958"/>
    <w:rsid w:val="00C25C7F"/>
    <w:rsid w:val="00C26D64"/>
    <w:rsid w:val="00C279D9"/>
    <w:rsid w:val="00C27BF9"/>
    <w:rsid w:val="00C3001F"/>
    <w:rsid w:val="00C30C17"/>
    <w:rsid w:val="00C30C4B"/>
    <w:rsid w:val="00C3141D"/>
    <w:rsid w:val="00C31569"/>
    <w:rsid w:val="00C33FEB"/>
    <w:rsid w:val="00C346AC"/>
    <w:rsid w:val="00C349AB"/>
    <w:rsid w:val="00C352D6"/>
    <w:rsid w:val="00C35AE6"/>
    <w:rsid w:val="00C35D79"/>
    <w:rsid w:val="00C35FD0"/>
    <w:rsid w:val="00C417D4"/>
    <w:rsid w:val="00C418BF"/>
    <w:rsid w:val="00C44557"/>
    <w:rsid w:val="00C455DA"/>
    <w:rsid w:val="00C45D8B"/>
    <w:rsid w:val="00C46183"/>
    <w:rsid w:val="00C47386"/>
    <w:rsid w:val="00C47E8E"/>
    <w:rsid w:val="00C51148"/>
    <w:rsid w:val="00C5345D"/>
    <w:rsid w:val="00C55AA7"/>
    <w:rsid w:val="00C563E4"/>
    <w:rsid w:val="00C57213"/>
    <w:rsid w:val="00C62D5B"/>
    <w:rsid w:val="00C6305C"/>
    <w:rsid w:val="00C645DA"/>
    <w:rsid w:val="00C6585A"/>
    <w:rsid w:val="00C66646"/>
    <w:rsid w:val="00C6722B"/>
    <w:rsid w:val="00C67A8B"/>
    <w:rsid w:val="00C704D7"/>
    <w:rsid w:val="00C70708"/>
    <w:rsid w:val="00C71A59"/>
    <w:rsid w:val="00C73AD6"/>
    <w:rsid w:val="00C74D58"/>
    <w:rsid w:val="00C767E8"/>
    <w:rsid w:val="00C83647"/>
    <w:rsid w:val="00C85FFB"/>
    <w:rsid w:val="00C86282"/>
    <w:rsid w:val="00C865D0"/>
    <w:rsid w:val="00C9079A"/>
    <w:rsid w:val="00C90DD5"/>
    <w:rsid w:val="00C917D8"/>
    <w:rsid w:val="00C919FF"/>
    <w:rsid w:val="00C91F74"/>
    <w:rsid w:val="00C92EE4"/>
    <w:rsid w:val="00C94244"/>
    <w:rsid w:val="00C96FF4"/>
    <w:rsid w:val="00CA0654"/>
    <w:rsid w:val="00CA0726"/>
    <w:rsid w:val="00CA09F5"/>
    <w:rsid w:val="00CA13E3"/>
    <w:rsid w:val="00CA1C02"/>
    <w:rsid w:val="00CA35D1"/>
    <w:rsid w:val="00CA3726"/>
    <w:rsid w:val="00CA41DE"/>
    <w:rsid w:val="00CA5A0A"/>
    <w:rsid w:val="00CA5A6B"/>
    <w:rsid w:val="00CA5ACB"/>
    <w:rsid w:val="00CA62B5"/>
    <w:rsid w:val="00CA7411"/>
    <w:rsid w:val="00CA7C80"/>
    <w:rsid w:val="00CB094D"/>
    <w:rsid w:val="00CB1D2A"/>
    <w:rsid w:val="00CB2A1E"/>
    <w:rsid w:val="00CB37E4"/>
    <w:rsid w:val="00CB3FC4"/>
    <w:rsid w:val="00CB6597"/>
    <w:rsid w:val="00CB6B4C"/>
    <w:rsid w:val="00CB6CD0"/>
    <w:rsid w:val="00CC09E4"/>
    <w:rsid w:val="00CC0FD6"/>
    <w:rsid w:val="00CC195F"/>
    <w:rsid w:val="00CC26F2"/>
    <w:rsid w:val="00CC2748"/>
    <w:rsid w:val="00CC2BCD"/>
    <w:rsid w:val="00CC3155"/>
    <w:rsid w:val="00CC6937"/>
    <w:rsid w:val="00CC7956"/>
    <w:rsid w:val="00CD0CE5"/>
    <w:rsid w:val="00CD1B5D"/>
    <w:rsid w:val="00CD1BE3"/>
    <w:rsid w:val="00CD304E"/>
    <w:rsid w:val="00CD3FAC"/>
    <w:rsid w:val="00CD3FFE"/>
    <w:rsid w:val="00CD4AF1"/>
    <w:rsid w:val="00CD56C9"/>
    <w:rsid w:val="00CD64EA"/>
    <w:rsid w:val="00CD692F"/>
    <w:rsid w:val="00CD6C16"/>
    <w:rsid w:val="00CD6EB1"/>
    <w:rsid w:val="00CD6F3D"/>
    <w:rsid w:val="00CD7A34"/>
    <w:rsid w:val="00CE0BD0"/>
    <w:rsid w:val="00CE220F"/>
    <w:rsid w:val="00CE320B"/>
    <w:rsid w:val="00CE46E8"/>
    <w:rsid w:val="00CE4D79"/>
    <w:rsid w:val="00CE56C5"/>
    <w:rsid w:val="00CE7B0E"/>
    <w:rsid w:val="00CF137B"/>
    <w:rsid w:val="00CF2166"/>
    <w:rsid w:val="00CF2399"/>
    <w:rsid w:val="00CF458F"/>
    <w:rsid w:val="00CF4C03"/>
    <w:rsid w:val="00CF4F9D"/>
    <w:rsid w:val="00CF5000"/>
    <w:rsid w:val="00CF6B6F"/>
    <w:rsid w:val="00CF7CEA"/>
    <w:rsid w:val="00D00046"/>
    <w:rsid w:val="00D00A9F"/>
    <w:rsid w:val="00D027AF"/>
    <w:rsid w:val="00D02E28"/>
    <w:rsid w:val="00D041A2"/>
    <w:rsid w:val="00D06A28"/>
    <w:rsid w:val="00D111E8"/>
    <w:rsid w:val="00D11244"/>
    <w:rsid w:val="00D11877"/>
    <w:rsid w:val="00D1389F"/>
    <w:rsid w:val="00D15F6E"/>
    <w:rsid w:val="00D15F7E"/>
    <w:rsid w:val="00D1679C"/>
    <w:rsid w:val="00D16B00"/>
    <w:rsid w:val="00D17BC0"/>
    <w:rsid w:val="00D23738"/>
    <w:rsid w:val="00D23BD1"/>
    <w:rsid w:val="00D25D6C"/>
    <w:rsid w:val="00D26388"/>
    <w:rsid w:val="00D27A33"/>
    <w:rsid w:val="00D307AD"/>
    <w:rsid w:val="00D321FB"/>
    <w:rsid w:val="00D3268E"/>
    <w:rsid w:val="00D3298E"/>
    <w:rsid w:val="00D35C1B"/>
    <w:rsid w:val="00D35DC3"/>
    <w:rsid w:val="00D36C7D"/>
    <w:rsid w:val="00D42A59"/>
    <w:rsid w:val="00D42BFF"/>
    <w:rsid w:val="00D43076"/>
    <w:rsid w:val="00D43A6F"/>
    <w:rsid w:val="00D445C2"/>
    <w:rsid w:val="00D46302"/>
    <w:rsid w:val="00D46F2A"/>
    <w:rsid w:val="00D474D6"/>
    <w:rsid w:val="00D477B1"/>
    <w:rsid w:val="00D47A99"/>
    <w:rsid w:val="00D50893"/>
    <w:rsid w:val="00D51EEA"/>
    <w:rsid w:val="00D523C3"/>
    <w:rsid w:val="00D54537"/>
    <w:rsid w:val="00D54C08"/>
    <w:rsid w:val="00D54D51"/>
    <w:rsid w:val="00D56448"/>
    <w:rsid w:val="00D5653B"/>
    <w:rsid w:val="00D57A54"/>
    <w:rsid w:val="00D57B02"/>
    <w:rsid w:val="00D61127"/>
    <w:rsid w:val="00D61680"/>
    <w:rsid w:val="00D635CD"/>
    <w:rsid w:val="00D6500A"/>
    <w:rsid w:val="00D66959"/>
    <w:rsid w:val="00D70D0F"/>
    <w:rsid w:val="00D7136E"/>
    <w:rsid w:val="00D72AEE"/>
    <w:rsid w:val="00D72B40"/>
    <w:rsid w:val="00D76AE4"/>
    <w:rsid w:val="00D772D4"/>
    <w:rsid w:val="00D77820"/>
    <w:rsid w:val="00D77C28"/>
    <w:rsid w:val="00D8163C"/>
    <w:rsid w:val="00D82B4E"/>
    <w:rsid w:val="00D83142"/>
    <w:rsid w:val="00D83A4A"/>
    <w:rsid w:val="00D85A1F"/>
    <w:rsid w:val="00D860AB"/>
    <w:rsid w:val="00D871C3"/>
    <w:rsid w:val="00D92AA3"/>
    <w:rsid w:val="00D92B95"/>
    <w:rsid w:val="00D93830"/>
    <w:rsid w:val="00D94986"/>
    <w:rsid w:val="00D962E7"/>
    <w:rsid w:val="00D969DE"/>
    <w:rsid w:val="00DA1004"/>
    <w:rsid w:val="00DA32AE"/>
    <w:rsid w:val="00DA3913"/>
    <w:rsid w:val="00DA457B"/>
    <w:rsid w:val="00DA4B8E"/>
    <w:rsid w:val="00DA515A"/>
    <w:rsid w:val="00DB19E3"/>
    <w:rsid w:val="00DB21A7"/>
    <w:rsid w:val="00DB3CC6"/>
    <w:rsid w:val="00DB4192"/>
    <w:rsid w:val="00DB453E"/>
    <w:rsid w:val="00DB4A5C"/>
    <w:rsid w:val="00DC1985"/>
    <w:rsid w:val="00DC23E6"/>
    <w:rsid w:val="00DC252A"/>
    <w:rsid w:val="00DC2770"/>
    <w:rsid w:val="00DC2F1D"/>
    <w:rsid w:val="00DC3526"/>
    <w:rsid w:val="00DC403D"/>
    <w:rsid w:val="00DC4BA7"/>
    <w:rsid w:val="00DC5011"/>
    <w:rsid w:val="00DC67F0"/>
    <w:rsid w:val="00DC6975"/>
    <w:rsid w:val="00DC7C69"/>
    <w:rsid w:val="00DD2C66"/>
    <w:rsid w:val="00DD2FDA"/>
    <w:rsid w:val="00DD478D"/>
    <w:rsid w:val="00DD5E9A"/>
    <w:rsid w:val="00DD61A7"/>
    <w:rsid w:val="00DD7EE9"/>
    <w:rsid w:val="00DE02B3"/>
    <w:rsid w:val="00DE09DA"/>
    <w:rsid w:val="00DE1658"/>
    <w:rsid w:val="00DE1CF7"/>
    <w:rsid w:val="00DE21B1"/>
    <w:rsid w:val="00DE3129"/>
    <w:rsid w:val="00DE31B4"/>
    <w:rsid w:val="00DE3204"/>
    <w:rsid w:val="00DE4229"/>
    <w:rsid w:val="00DE4367"/>
    <w:rsid w:val="00DE43CD"/>
    <w:rsid w:val="00DE49F2"/>
    <w:rsid w:val="00DE4D61"/>
    <w:rsid w:val="00DE674D"/>
    <w:rsid w:val="00DF1303"/>
    <w:rsid w:val="00DF1CC7"/>
    <w:rsid w:val="00DF2516"/>
    <w:rsid w:val="00DF2C80"/>
    <w:rsid w:val="00DF4086"/>
    <w:rsid w:val="00DF71F1"/>
    <w:rsid w:val="00DF7AB4"/>
    <w:rsid w:val="00E014EF"/>
    <w:rsid w:val="00E0226D"/>
    <w:rsid w:val="00E046D7"/>
    <w:rsid w:val="00E07AB7"/>
    <w:rsid w:val="00E07FC9"/>
    <w:rsid w:val="00E10BD6"/>
    <w:rsid w:val="00E11919"/>
    <w:rsid w:val="00E1301A"/>
    <w:rsid w:val="00E152CB"/>
    <w:rsid w:val="00E16B95"/>
    <w:rsid w:val="00E1704C"/>
    <w:rsid w:val="00E178AF"/>
    <w:rsid w:val="00E178EF"/>
    <w:rsid w:val="00E236E7"/>
    <w:rsid w:val="00E23BE9"/>
    <w:rsid w:val="00E23C74"/>
    <w:rsid w:val="00E24D12"/>
    <w:rsid w:val="00E250D5"/>
    <w:rsid w:val="00E26422"/>
    <w:rsid w:val="00E300BB"/>
    <w:rsid w:val="00E31150"/>
    <w:rsid w:val="00E31B99"/>
    <w:rsid w:val="00E3272F"/>
    <w:rsid w:val="00E332A9"/>
    <w:rsid w:val="00E335A1"/>
    <w:rsid w:val="00E35B83"/>
    <w:rsid w:val="00E361AB"/>
    <w:rsid w:val="00E36864"/>
    <w:rsid w:val="00E371DE"/>
    <w:rsid w:val="00E41A69"/>
    <w:rsid w:val="00E42B77"/>
    <w:rsid w:val="00E43595"/>
    <w:rsid w:val="00E43970"/>
    <w:rsid w:val="00E43DDF"/>
    <w:rsid w:val="00E45B31"/>
    <w:rsid w:val="00E4649E"/>
    <w:rsid w:val="00E47772"/>
    <w:rsid w:val="00E47DED"/>
    <w:rsid w:val="00E5253D"/>
    <w:rsid w:val="00E54988"/>
    <w:rsid w:val="00E55B65"/>
    <w:rsid w:val="00E55F05"/>
    <w:rsid w:val="00E603B9"/>
    <w:rsid w:val="00E62447"/>
    <w:rsid w:val="00E63CEA"/>
    <w:rsid w:val="00E650FC"/>
    <w:rsid w:val="00E664BE"/>
    <w:rsid w:val="00E672A4"/>
    <w:rsid w:val="00E72563"/>
    <w:rsid w:val="00E73322"/>
    <w:rsid w:val="00E7400E"/>
    <w:rsid w:val="00E75509"/>
    <w:rsid w:val="00E7664D"/>
    <w:rsid w:val="00E76BFC"/>
    <w:rsid w:val="00E77674"/>
    <w:rsid w:val="00E77D00"/>
    <w:rsid w:val="00E807AB"/>
    <w:rsid w:val="00E814A4"/>
    <w:rsid w:val="00E83A53"/>
    <w:rsid w:val="00E84646"/>
    <w:rsid w:val="00E856B9"/>
    <w:rsid w:val="00E85EF2"/>
    <w:rsid w:val="00E872F8"/>
    <w:rsid w:val="00E876FA"/>
    <w:rsid w:val="00E902C6"/>
    <w:rsid w:val="00E9135D"/>
    <w:rsid w:val="00E927C5"/>
    <w:rsid w:val="00E951AE"/>
    <w:rsid w:val="00E95A23"/>
    <w:rsid w:val="00E95A7B"/>
    <w:rsid w:val="00E96850"/>
    <w:rsid w:val="00E97625"/>
    <w:rsid w:val="00E97DE3"/>
    <w:rsid w:val="00E97E7F"/>
    <w:rsid w:val="00EA05D3"/>
    <w:rsid w:val="00EA11D2"/>
    <w:rsid w:val="00EA1728"/>
    <w:rsid w:val="00EA25B6"/>
    <w:rsid w:val="00EA2F02"/>
    <w:rsid w:val="00EA3966"/>
    <w:rsid w:val="00EA4240"/>
    <w:rsid w:val="00EA45F1"/>
    <w:rsid w:val="00EA616B"/>
    <w:rsid w:val="00EA64EC"/>
    <w:rsid w:val="00EB050B"/>
    <w:rsid w:val="00EB1060"/>
    <w:rsid w:val="00EB1A93"/>
    <w:rsid w:val="00EB4101"/>
    <w:rsid w:val="00EB4799"/>
    <w:rsid w:val="00EB49CA"/>
    <w:rsid w:val="00EB6458"/>
    <w:rsid w:val="00EC2F92"/>
    <w:rsid w:val="00EC306F"/>
    <w:rsid w:val="00EC4BFA"/>
    <w:rsid w:val="00EC55E2"/>
    <w:rsid w:val="00EC758A"/>
    <w:rsid w:val="00EC7E55"/>
    <w:rsid w:val="00ED1D81"/>
    <w:rsid w:val="00ED2548"/>
    <w:rsid w:val="00ED28AB"/>
    <w:rsid w:val="00ED2A85"/>
    <w:rsid w:val="00ED32B7"/>
    <w:rsid w:val="00ED3983"/>
    <w:rsid w:val="00ED6C0B"/>
    <w:rsid w:val="00ED73ED"/>
    <w:rsid w:val="00EE05FC"/>
    <w:rsid w:val="00EE27CC"/>
    <w:rsid w:val="00EE2CEC"/>
    <w:rsid w:val="00EE3E60"/>
    <w:rsid w:val="00EE4027"/>
    <w:rsid w:val="00EF3884"/>
    <w:rsid w:val="00EF5260"/>
    <w:rsid w:val="00EF526A"/>
    <w:rsid w:val="00F007D8"/>
    <w:rsid w:val="00F013B9"/>
    <w:rsid w:val="00F031C5"/>
    <w:rsid w:val="00F03938"/>
    <w:rsid w:val="00F03F56"/>
    <w:rsid w:val="00F06E00"/>
    <w:rsid w:val="00F07103"/>
    <w:rsid w:val="00F07FD2"/>
    <w:rsid w:val="00F10B2F"/>
    <w:rsid w:val="00F1190F"/>
    <w:rsid w:val="00F11CDE"/>
    <w:rsid w:val="00F12490"/>
    <w:rsid w:val="00F12B67"/>
    <w:rsid w:val="00F12CCE"/>
    <w:rsid w:val="00F12E54"/>
    <w:rsid w:val="00F13362"/>
    <w:rsid w:val="00F14430"/>
    <w:rsid w:val="00F145A2"/>
    <w:rsid w:val="00F147A1"/>
    <w:rsid w:val="00F14F9C"/>
    <w:rsid w:val="00F15C7F"/>
    <w:rsid w:val="00F163C3"/>
    <w:rsid w:val="00F16D6E"/>
    <w:rsid w:val="00F16FEE"/>
    <w:rsid w:val="00F17384"/>
    <w:rsid w:val="00F1755F"/>
    <w:rsid w:val="00F175AF"/>
    <w:rsid w:val="00F17C52"/>
    <w:rsid w:val="00F2090F"/>
    <w:rsid w:val="00F20F9B"/>
    <w:rsid w:val="00F21441"/>
    <w:rsid w:val="00F21632"/>
    <w:rsid w:val="00F22466"/>
    <w:rsid w:val="00F22D82"/>
    <w:rsid w:val="00F22E0C"/>
    <w:rsid w:val="00F2339C"/>
    <w:rsid w:val="00F23FEC"/>
    <w:rsid w:val="00F2645D"/>
    <w:rsid w:val="00F317E1"/>
    <w:rsid w:val="00F32721"/>
    <w:rsid w:val="00F3435D"/>
    <w:rsid w:val="00F353AA"/>
    <w:rsid w:val="00F35436"/>
    <w:rsid w:val="00F3634E"/>
    <w:rsid w:val="00F365B5"/>
    <w:rsid w:val="00F37C09"/>
    <w:rsid w:val="00F40377"/>
    <w:rsid w:val="00F427E4"/>
    <w:rsid w:val="00F4487C"/>
    <w:rsid w:val="00F45A2B"/>
    <w:rsid w:val="00F45AD1"/>
    <w:rsid w:val="00F46EEE"/>
    <w:rsid w:val="00F545C7"/>
    <w:rsid w:val="00F56304"/>
    <w:rsid w:val="00F56500"/>
    <w:rsid w:val="00F57F70"/>
    <w:rsid w:val="00F62CD6"/>
    <w:rsid w:val="00F71443"/>
    <w:rsid w:val="00F71A08"/>
    <w:rsid w:val="00F7266A"/>
    <w:rsid w:val="00F74AFF"/>
    <w:rsid w:val="00F75499"/>
    <w:rsid w:val="00F771D6"/>
    <w:rsid w:val="00F8054F"/>
    <w:rsid w:val="00F81BD9"/>
    <w:rsid w:val="00F82056"/>
    <w:rsid w:val="00F84AAD"/>
    <w:rsid w:val="00F85A20"/>
    <w:rsid w:val="00F9008D"/>
    <w:rsid w:val="00F9016B"/>
    <w:rsid w:val="00F90E5D"/>
    <w:rsid w:val="00F9158D"/>
    <w:rsid w:val="00F91616"/>
    <w:rsid w:val="00F927E7"/>
    <w:rsid w:val="00F9326C"/>
    <w:rsid w:val="00F94B8C"/>
    <w:rsid w:val="00F954E6"/>
    <w:rsid w:val="00F95AFF"/>
    <w:rsid w:val="00F95BA1"/>
    <w:rsid w:val="00F96EBA"/>
    <w:rsid w:val="00F97F53"/>
    <w:rsid w:val="00FA0778"/>
    <w:rsid w:val="00FA16F2"/>
    <w:rsid w:val="00FA43FB"/>
    <w:rsid w:val="00FA4B6D"/>
    <w:rsid w:val="00FA6B98"/>
    <w:rsid w:val="00FB0467"/>
    <w:rsid w:val="00FB606A"/>
    <w:rsid w:val="00FB6AA5"/>
    <w:rsid w:val="00FC1ABB"/>
    <w:rsid w:val="00FC3B27"/>
    <w:rsid w:val="00FC4197"/>
    <w:rsid w:val="00FC476B"/>
    <w:rsid w:val="00FC500B"/>
    <w:rsid w:val="00FC6174"/>
    <w:rsid w:val="00FC76E4"/>
    <w:rsid w:val="00FD0D11"/>
    <w:rsid w:val="00FD10F1"/>
    <w:rsid w:val="00FD1BAD"/>
    <w:rsid w:val="00FD2706"/>
    <w:rsid w:val="00FD2964"/>
    <w:rsid w:val="00FD351D"/>
    <w:rsid w:val="00FD6F93"/>
    <w:rsid w:val="00FE1348"/>
    <w:rsid w:val="00FE2384"/>
    <w:rsid w:val="00FE4EAC"/>
    <w:rsid w:val="00FE5652"/>
    <w:rsid w:val="00FE5BC1"/>
    <w:rsid w:val="00FE6D7B"/>
    <w:rsid w:val="00FF28B6"/>
    <w:rsid w:val="00FF38FC"/>
    <w:rsid w:val="00FF39C0"/>
    <w:rsid w:val="00FF3EF9"/>
    <w:rsid w:val="00FF5C72"/>
    <w:rsid w:val="00FF608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AD6100"/>
  <w15:docId w15:val="{9A3A7C78-A9DF-469C-8864-1BF046BC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83C"/>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441D4A"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300050"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893B94"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441D4A" w:themeColor="accent1" w:themeShade="80"/>
      <w:sz w:val="32"/>
      <w:szCs w:val="26"/>
      <w:lang w:eastAsia="zh-CN"/>
    </w:rPr>
  </w:style>
  <w:style w:type="paragraph" w:styleId="ListParagraph">
    <w:name w:val="List Paragraph"/>
    <w:basedOn w:val="Normal"/>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893B94" w:themeColor="accent1"/>
      <w:sz w:val="28"/>
      <w:szCs w:val="28"/>
    </w:rPr>
  </w:style>
  <w:style w:type="character" w:customStyle="1" w:styleId="QuoteChar">
    <w:name w:val="Quote Char"/>
    <w:basedOn w:val="DefaultParagraphFont"/>
    <w:link w:val="Quote"/>
    <w:uiPriority w:val="29"/>
    <w:rsid w:val="00FC1ABB"/>
    <w:rPr>
      <w:rFonts w:ascii="Verdana" w:hAnsi="Verdana"/>
      <w:color w:val="893B94"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893B94"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893B9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78570" w:themeFill="accent4"/>
    </w:pPr>
    <w:rPr>
      <w:b/>
      <w:sz w:val="22"/>
    </w:rPr>
  </w:style>
  <w:style w:type="paragraph" w:customStyle="1" w:styleId="IntroCopy">
    <w:name w:val="Intro Copy"/>
    <w:basedOn w:val="Normal"/>
    <w:link w:val="IntroCopyChar"/>
    <w:rsid w:val="00571BDC"/>
    <w:pPr>
      <w:spacing w:line="420" w:lineRule="exact"/>
    </w:pPr>
    <w:rPr>
      <w:color w:val="893B94" w:themeColor="accent1"/>
      <w:sz w:val="32"/>
      <w:szCs w:val="32"/>
    </w:rPr>
  </w:style>
  <w:style w:type="character" w:customStyle="1" w:styleId="IntroCopyChar">
    <w:name w:val="Intro Copy Char"/>
    <w:basedOn w:val="DefaultParagraphFont"/>
    <w:link w:val="IntroCopy"/>
    <w:rsid w:val="00571BDC"/>
    <w:rPr>
      <w:rFonts w:ascii="Verdana" w:hAnsi="Verdana"/>
      <w:color w:val="893B94" w:themeColor="accent1"/>
      <w:sz w:val="32"/>
      <w:szCs w:val="32"/>
    </w:rPr>
  </w:style>
  <w:style w:type="paragraph" w:customStyle="1" w:styleId="CoverPageHeader">
    <w:name w:val="CoverPage Header"/>
    <w:basedOn w:val="Title"/>
    <w:rsid w:val="00F45A2B"/>
    <w:pPr>
      <w:spacing w:after="480" w:line="240" w:lineRule="auto"/>
    </w:pPr>
    <w:rPr>
      <w:color w:val="893B94"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300050"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000000" w:themeColor="followedHyperlink"/>
      <w:u w:val="single"/>
    </w:rPr>
  </w:style>
  <w:style w:type="paragraph" w:customStyle="1" w:styleId="Default">
    <w:name w:val="Default"/>
    <w:rsid w:val="00374A9F"/>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D23738"/>
    <w:pPr>
      <w:spacing w:line="141" w:lineRule="atLeast"/>
    </w:pPr>
    <w:rPr>
      <w:rFonts w:ascii="AU Sans BETA Text Medium" w:hAnsi="AU Sans BETA Text Medium" w:cstheme="minorBidi"/>
      <w:color w:val="auto"/>
    </w:rPr>
  </w:style>
  <w:style w:type="character" w:styleId="UnresolvedMention">
    <w:name w:val="Unresolved Mention"/>
    <w:basedOn w:val="DefaultParagraphFont"/>
    <w:uiPriority w:val="99"/>
    <w:semiHidden/>
    <w:unhideWhenUsed/>
    <w:rsid w:val="00B6454F"/>
    <w:rPr>
      <w:color w:val="605E5C"/>
      <w:shd w:val="clear" w:color="auto" w:fill="E1DFDD"/>
    </w:rPr>
  </w:style>
  <w:style w:type="paragraph" w:styleId="ListBullet">
    <w:name w:val="List Bullet"/>
    <w:basedOn w:val="Normal"/>
    <w:uiPriority w:val="99"/>
    <w:unhideWhenUsed/>
    <w:qFormat/>
    <w:rsid w:val="00733D76"/>
    <w:pPr>
      <w:numPr>
        <w:numId w:val="4"/>
      </w:numPr>
      <w:snapToGrid w:val="0"/>
      <w:spacing w:before="0" w:after="40" w:line="252" w:lineRule="auto"/>
    </w:pPr>
    <w:rPr>
      <w:rFonts w:asciiTheme="minorHAnsi" w:eastAsiaTheme="minorEastAsia" w:hAnsiTheme="minorHAnsi"/>
      <w:color w:val="auto"/>
      <w:lang w:eastAsia="zh-CN"/>
    </w:rPr>
  </w:style>
  <w:style w:type="paragraph" w:styleId="ListBullet2">
    <w:name w:val="List Bullet 2"/>
    <w:basedOn w:val="Normal"/>
    <w:uiPriority w:val="99"/>
    <w:semiHidden/>
    <w:unhideWhenUsed/>
    <w:qFormat/>
    <w:rsid w:val="00733D76"/>
    <w:pPr>
      <w:numPr>
        <w:ilvl w:val="1"/>
        <w:numId w:val="4"/>
      </w:numPr>
      <w:snapToGrid w:val="0"/>
      <w:spacing w:before="0" w:after="40" w:line="252" w:lineRule="auto"/>
      <w:ind w:left="1440" w:hanging="360"/>
    </w:pPr>
    <w:rPr>
      <w:rFonts w:asciiTheme="minorHAnsi" w:eastAsiaTheme="minorEastAsia" w:hAnsiTheme="minorHAnsi"/>
      <w:color w:val="auto"/>
      <w:lang w:eastAsia="zh-CN"/>
    </w:rPr>
  </w:style>
  <w:style w:type="paragraph" w:styleId="ListBullet3">
    <w:name w:val="List Bullet 3"/>
    <w:basedOn w:val="Normal"/>
    <w:uiPriority w:val="99"/>
    <w:semiHidden/>
    <w:unhideWhenUsed/>
    <w:qFormat/>
    <w:rsid w:val="00733D76"/>
    <w:pPr>
      <w:numPr>
        <w:ilvl w:val="2"/>
        <w:numId w:val="4"/>
      </w:numPr>
      <w:snapToGrid w:val="0"/>
      <w:spacing w:before="0" w:after="40" w:line="252" w:lineRule="auto"/>
      <w:ind w:left="2160" w:hanging="360"/>
    </w:pPr>
    <w:rPr>
      <w:rFonts w:asciiTheme="minorHAnsi" w:eastAsiaTheme="minorEastAsia" w:hAnsiTheme="minorHAnsi"/>
      <w:color w:val="auto"/>
      <w:lang w:eastAsia="zh-CN"/>
    </w:rPr>
  </w:style>
  <w:style w:type="paragraph" w:styleId="Revision">
    <w:name w:val="Revision"/>
    <w:hidden/>
    <w:uiPriority w:val="99"/>
    <w:semiHidden/>
    <w:rsid w:val="001E6521"/>
    <w:pPr>
      <w:spacing w:after="0" w:line="240" w:lineRule="auto"/>
    </w:pPr>
    <w:rPr>
      <w:rFonts w:ascii="Verdana" w:hAnsi="Verdana"/>
      <w:color w:val="000000" w:themeColor="text1"/>
      <w:sz w:val="20"/>
      <w:szCs w:val="20"/>
    </w:rPr>
  </w:style>
  <w:style w:type="paragraph" w:styleId="NormalWeb">
    <w:name w:val="Normal (Web)"/>
    <w:basedOn w:val="Normal"/>
    <w:uiPriority w:val="99"/>
    <w:semiHidden/>
    <w:unhideWhenUsed/>
    <w:rsid w:val="0044311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semiHidden/>
    <w:unhideWhenUsed/>
    <w:rsid w:val="008862BA"/>
    <w:pPr>
      <w:spacing w:before="0" w:after="0" w:line="240" w:lineRule="auto"/>
    </w:pPr>
  </w:style>
  <w:style w:type="character" w:customStyle="1" w:styleId="FootnoteTextChar">
    <w:name w:val="Footnote Text Char"/>
    <w:basedOn w:val="DefaultParagraphFont"/>
    <w:link w:val="FootnoteText"/>
    <w:uiPriority w:val="99"/>
    <w:semiHidden/>
    <w:rsid w:val="008862BA"/>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8862BA"/>
    <w:rPr>
      <w:vertAlign w:val="superscript"/>
    </w:rPr>
  </w:style>
  <w:style w:type="paragraph" w:styleId="TOCHeading">
    <w:name w:val="TOC Heading"/>
    <w:basedOn w:val="Heading1"/>
    <w:next w:val="Normal"/>
    <w:uiPriority w:val="39"/>
    <w:unhideWhenUsed/>
    <w:qFormat/>
    <w:rsid w:val="008A2704"/>
    <w:pPr>
      <w:keepNext/>
      <w:keepLines/>
      <w:spacing w:before="240" w:after="0" w:line="259" w:lineRule="auto"/>
      <w:outlineLvl w:val="9"/>
    </w:pPr>
    <w:rPr>
      <w:rFonts w:asciiTheme="majorHAnsi" w:eastAsiaTheme="majorEastAsia" w:hAnsiTheme="majorHAnsi" w:cstheme="majorBidi"/>
      <w:bCs w:val="0"/>
      <w:color w:val="662C6E" w:themeColor="accent1" w:themeShade="BF"/>
      <w:sz w:val="32"/>
      <w:szCs w:val="32"/>
      <w:lang w:val="en-US" w:eastAsia="en-US"/>
    </w:rPr>
  </w:style>
  <w:style w:type="paragraph" w:styleId="TOC1">
    <w:name w:val="toc 1"/>
    <w:basedOn w:val="Normal"/>
    <w:next w:val="Normal"/>
    <w:autoRedefine/>
    <w:uiPriority w:val="39"/>
    <w:unhideWhenUsed/>
    <w:rsid w:val="008A2704"/>
    <w:pPr>
      <w:spacing w:after="100"/>
    </w:pPr>
  </w:style>
  <w:style w:type="paragraph" w:styleId="TOC3">
    <w:name w:val="toc 3"/>
    <w:basedOn w:val="Normal"/>
    <w:next w:val="Normal"/>
    <w:autoRedefine/>
    <w:uiPriority w:val="39"/>
    <w:unhideWhenUsed/>
    <w:rsid w:val="008A2704"/>
    <w:pPr>
      <w:spacing w:after="100"/>
      <w:ind w:left="400"/>
    </w:pPr>
  </w:style>
  <w:style w:type="paragraph" w:styleId="TOC2">
    <w:name w:val="toc 2"/>
    <w:basedOn w:val="Normal"/>
    <w:next w:val="Normal"/>
    <w:autoRedefine/>
    <w:uiPriority w:val="39"/>
    <w:unhideWhenUsed/>
    <w:rsid w:val="008A2704"/>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296">
      <w:bodyDiv w:val="1"/>
      <w:marLeft w:val="0"/>
      <w:marRight w:val="0"/>
      <w:marTop w:val="0"/>
      <w:marBottom w:val="0"/>
      <w:divBdr>
        <w:top w:val="none" w:sz="0" w:space="0" w:color="auto"/>
        <w:left w:val="none" w:sz="0" w:space="0" w:color="auto"/>
        <w:bottom w:val="none" w:sz="0" w:space="0" w:color="auto"/>
        <w:right w:val="none" w:sz="0" w:space="0" w:color="auto"/>
      </w:divBdr>
    </w:div>
    <w:div w:id="2897014">
      <w:bodyDiv w:val="1"/>
      <w:marLeft w:val="0"/>
      <w:marRight w:val="0"/>
      <w:marTop w:val="0"/>
      <w:marBottom w:val="0"/>
      <w:divBdr>
        <w:top w:val="none" w:sz="0" w:space="0" w:color="auto"/>
        <w:left w:val="none" w:sz="0" w:space="0" w:color="auto"/>
        <w:bottom w:val="none" w:sz="0" w:space="0" w:color="auto"/>
        <w:right w:val="none" w:sz="0" w:space="0" w:color="auto"/>
      </w:divBdr>
    </w:div>
    <w:div w:id="8798574">
      <w:bodyDiv w:val="1"/>
      <w:marLeft w:val="0"/>
      <w:marRight w:val="0"/>
      <w:marTop w:val="0"/>
      <w:marBottom w:val="0"/>
      <w:divBdr>
        <w:top w:val="none" w:sz="0" w:space="0" w:color="auto"/>
        <w:left w:val="none" w:sz="0" w:space="0" w:color="auto"/>
        <w:bottom w:val="none" w:sz="0" w:space="0" w:color="auto"/>
        <w:right w:val="none" w:sz="0" w:space="0" w:color="auto"/>
      </w:divBdr>
    </w:div>
    <w:div w:id="26758034">
      <w:bodyDiv w:val="1"/>
      <w:marLeft w:val="0"/>
      <w:marRight w:val="0"/>
      <w:marTop w:val="0"/>
      <w:marBottom w:val="0"/>
      <w:divBdr>
        <w:top w:val="none" w:sz="0" w:space="0" w:color="auto"/>
        <w:left w:val="none" w:sz="0" w:space="0" w:color="auto"/>
        <w:bottom w:val="none" w:sz="0" w:space="0" w:color="auto"/>
        <w:right w:val="none" w:sz="0" w:space="0" w:color="auto"/>
      </w:divBdr>
    </w:div>
    <w:div w:id="59638435">
      <w:bodyDiv w:val="1"/>
      <w:marLeft w:val="0"/>
      <w:marRight w:val="0"/>
      <w:marTop w:val="0"/>
      <w:marBottom w:val="0"/>
      <w:divBdr>
        <w:top w:val="none" w:sz="0" w:space="0" w:color="auto"/>
        <w:left w:val="none" w:sz="0" w:space="0" w:color="auto"/>
        <w:bottom w:val="none" w:sz="0" w:space="0" w:color="auto"/>
        <w:right w:val="none" w:sz="0" w:space="0" w:color="auto"/>
      </w:divBdr>
    </w:div>
    <w:div w:id="61107039">
      <w:bodyDiv w:val="1"/>
      <w:marLeft w:val="0"/>
      <w:marRight w:val="0"/>
      <w:marTop w:val="0"/>
      <w:marBottom w:val="0"/>
      <w:divBdr>
        <w:top w:val="none" w:sz="0" w:space="0" w:color="auto"/>
        <w:left w:val="none" w:sz="0" w:space="0" w:color="auto"/>
        <w:bottom w:val="none" w:sz="0" w:space="0" w:color="auto"/>
        <w:right w:val="none" w:sz="0" w:space="0" w:color="auto"/>
      </w:divBdr>
    </w:div>
    <w:div w:id="85421163">
      <w:bodyDiv w:val="1"/>
      <w:marLeft w:val="0"/>
      <w:marRight w:val="0"/>
      <w:marTop w:val="0"/>
      <w:marBottom w:val="0"/>
      <w:divBdr>
        <w:top w:val="none" w:sz="0" w:space="0" w:color="auto"/>
        <w:left w:val="none" w:sz="0" w:space="0" w:color="auto"/>
        <w:bottom w:val="none" w:sz="0" w:space="0" w:color="auto"/>
        <w:right w:val="none" w:sz="0" w:space="0" w:color="auto"/>
      </w:divBdr>
    </w:div>
    <w:div w:id="88352720">
      <w:bodyDiv w:val="1"/>
      <w:marLeft w:val="0"/>
      <w:marRight w:val="0"/>
      <w:marTop w:val="0"/>
      <w:marBottom w:val="0"/>
      <w:divBdr>
        <w:top w:val="none" w:sz="0" w:space="0" w:color="auto"/>
        <w:left w:val="none" w:sz="0" w:space="0" w:color="auto"/>
        <w:bottom w:val="none" w:sz="0" w:space="0" w:color="auto"/>
        <w:right w:val="none" w:sz="0" w:space="0" w:color="auto"/>
      </w:divBdr>
    </w:div>
    <w:div w:id="104884064">
      <w:bodyDiv w:val="1"/>
      <w:marLeft w:val="0"/>
      <w:marRight w:val="0"/>
      <w:marTop w:val="0"/>
      <w:marBottom w:val="0"/>
      <w:divBdr>
        <w:top w:val="none" w:sz="0" w:space="0" w:color="auto"/>
        <w:left w:val="none" w:sz="0" w:space="0" w:color="auto"/>
        <w:bottom w:val="none" w:sz="0" w:space="0" w:color="auto"/>
        <w:right w:val="none" w:sz="0" w:space="0" w:color="auto"/>
      </w:divBdr>
      <w:divsChild>
        <w:div w:id="2059625612">
          <w:marLeft w:val="274"/>
          <w:marRight w:val="0"/>
          <w:marTop w:val="0"/>
          <w:marBottom w:val="0"/>
          <w:divBdr>
            <w:top w:val="none" w:sz="0" w:space="0" w:color="auto"/>
            <w:left w:val="none" w:sz="0" w:space="0" w:color="auto"/>
            <w:bottom w:val="none" w:sz="0" w:space="0" w:color="auto"/>
            <w:right w:val="none" w:sz="0" w:space="0" w:color="auto"/>
          </w:divBdr>
        </w:div>
        <w:div w:id="1352685030">
          <w:marLeft w:val="274"/>
          <w:marRight w:val="0"/>
          <w:marTop w:val="0"/>
          <w:marBottom w:val="120"/>
          <w:divBdr>
            <w:top w:val="none" w:sz="0" w:space="0" w:color="auto"/>
            <w:left w:val="none" w:sz="0" w:space="0" w:color="auto"/>
            <w:bottom w:val="none" w:sz="0" w:space="0" w:color="auto"/>
            <w:right w:val="none" w:sz="0" w:space="0" w:color="auto"/>
          </w:divBdr>
        </w:div>
      </w:divsChild>
    </w:div>
    <w:div w:id="115681512">
      <w:bodyDiv w:val="1"/>
      <w:marLeft w:val="0"/>
      <w:marRight w:val="0"/>
      <w:marTop w:val="0"/>
      <w:marBottom w:val="0"/>
      <w:divBdr>
        <w:top w:val="none" w:sz="0" w:space="0" w:color="auto"/>
        <w:left w:val="none" w:sz="0" w:space="0" w:color="auto"/>
        <w:bottom w:val="none" w:sz="0" w:space="0" w:color="auto"/>
        <w:right w:val="none" w:sz="0" w:space="0" w:color="auto"/>
      </w:divBdr>
      <w:divsChild>
        <w:div w:id="523135977">
          <w:marLeft w:val="432"/>
          <w:marRight w:val="0"/>
          <w:marTop w:val="0"/>
          <w:marBottom w:val="120"/>
          <w:divBdr>
            <w:top w:val="none" w:sz="0" w:space="0" w:color="auto"/>
            <w:left w:val="none" w:sz="0" w:space="0" w:color="auto"/>
            <w:bottom w:val="none" w:sz="0" w:space="0" w:color="auto"/>
            <w:right w:val="none" w:sz="0" w:space="0" w:color="auto"/>
          </w:divBdr>
        </w:div>
        <w:div w:id="1973438638">
          <w:marLeft w:val="432"/>
          <w:marRight w:val="0"/>
          <w:marTop w:val="0"/>
          <w:marBottom w:val="120"/>
          <w:divBdr>
            <w:top w:val="none" w:sz="0" w:space="0" w:color="auto"/>
            <w:left w:val="none" w:sz="0" w:space="0" w:color="auto"/>
            <w:bottom w:val="none" w:sz="0" w:space="0" w:color="auto"/>
            <w:right w:val="none" w:sz="0" w:space="0" w:color="auto"/>
          </w:divBdr>
        </w:div>
        <w:div w:id="1515877552">
          <w:marLeft w:val="432"/>
          <w:marRight w:val="0"/>
          <w:marTop w:val="0"/>
          <w:marBottom w:val="120"/>
          <w:divBdr>
            <w:top w:val="none" w:sz="0" w:space="0" w:color="auto"/>
            <w:left w:val="none" w:sz="0" w:space="0" w:color="auto"/>
            <w:bottom w:val="none" w:sz="0" w:space="0" w:color="auto"/>
            <w:right w:val="none" w:sz="0" w:space="0" w:color="auto"/>
          </w:divBdr>
        </w:div>
        <w:div w:id="1924994629">
          <w:marLeft w:val="432"/>
          <w:marRight w:val="0"/>
          <w:marTop w:val="0"/>
          <w:marBottom w:val="120"/>
          <w:divBdr>
            <w:top w:val="none" w:sz="0" w:space="0" w:color="auto"/>
            <w:left w:val="none" w:sz="0" w:space="0" w:color="auto"/>
            <w:bottom w:val="none" w:sz="0" w:space="0" w:color="auto"/>
            <w:right w:val="none" w:sz="0" w:space="0" w:color="auto"/>
          </w:divBdr>
        </w:div>
        <w:div w:id="1251084204">
          <w:marLeft w:val="432"/>
          <w:marRight w:val="0"/>
          <w:marTop w:val="0"/>
          <w:marBottom w:val="120"/>
          <w:divBdr>
            <w:top w:val="none" w:sz="0" w:space="0" w:color="auto"/>
            <w:left w:val="none" w:sz="0" w:space="0" w:color="auto"/>
            <w:bottom w:val="none" w:sz="0" w:space="0" w:color="auto"/>
            <w:right w:val="none" w:sz="0" w:space="0" w:color="auto"/>
          </w:divBdr>
        </w:div>
        <w:div w:id="871845717">
          <w:marLeft w:val="432"/>
          <w:marRight w:val="0"/>
          <w:marTop w:val="0"/>
          <w:marBottom w:val="120"/>
          <w:divBdr>
            <w:top w:val="none" w:sz="0" w:space="0" w:color="auto"/>
            <w:left w:val="none" w:sz="0" w:space="0" w:color="auto"/>
            <w:bottom w:val="none" w:sz="0" w:space="0" w:color="auto"/>
            <w:right w:val="none" w:sz="0" w:space="0" w:color="auto"/>
          </w:divBdr>
        </w:div>
      </w:divsChild>
    </w:div>
    <w:div w:id="155414999">
      <w:bodyDiv w:val="1"/>
      <w:marLeft w:val="0"/>
      <w:marRight w:val="0"/>
      <w:marTop w:val="0"/>
      <w:marBottom w:val="0"/>
      <w:divBdr>
        <w:top w:val="none" w:sz="0" w:space="0" w:color="auto"/>
        <w:left w:val="none" w:sz="0" w:space="0" w:color="auto"/>
        <w:bottom w:val="none" w:sz="0" w:space="0" w:color="auto"/>
        <w:right w:val="none" w:sz="0" w:space="0" w:color="auto"/>
      </w:divBdr>
    </w:div>
    <w:div w:id="166596424">
      <w:bodyDiv w:val="1"/>
      <w:marLeft w:val="0"/>
      <w:marRight w:val="0"/>
      <w:marTop w:val="0"/>
      <w:marBottom w:val="0"/>
      <w:divBdr>
        <w:top w:val="none" w:sz="0" w:space="0" w:color="auto"/>
        <w:left w:val="none" w:sz="0" w:space="0" w:color="auto"/>
        <w:bottom w:val="none" w:sz="0" w:space="0" w:color="auto"/>
        <w:right w:val="none" w:sz="0" w:space="0" w:color="auto"/>
      </w:divBdr>
    </w:div>
    <w:div w:id="172427143">
      <w:bodyDiv w:val="1"/>
      <w:marLeft w:val="0"/>
      <w:marRight w:val="0"/>
      <w:marTop w:val="0"/>
      <w:marBottom w:val="0"/>
      <w:divBdr>
        <w:top w:val="none" w:sz="0" w:space="0" w:color="auto"/>
        <w:left w:val="none" w:sz="0" w:space="0" w:color="auto"/>
        <w:bottom w:val="none" w:sz="0" w:space="0" w:color="auto"/>
        <w:right w:val="none" w:sz="0" w:space="0" w:color="auto"/>
      </w:divBdr>
    </w:div>
    <w:div w:id="184634495">
      <w:bodyDiv w:val="1"/>
      <w:marLeft w:val="0"/>
      <w:marRight w:val="0"/>
      <w:marTop w:val="0"/>
      <w:marBottom w:val="0"/>
      <w:divBdr>
        <w:top w:val="none" w:sz="0" w:space="0" w:color="auto"/>
        <w:left w:val="none" w:sz="0" w:space="0" w:color="auto"/>
        <w:bottom w:val="none" w:sz="0" w:space="0" w:color="auto"/>
        <w:right w:val="none" w:sz="0" w:space="0" w:color="auto"/>
      </w:divBdr>
    </w:div>
    <w:div w:id="198519877">
      <w:bodyDiv w:val="1"/>
      <w:marLeft w:val="0"/>
      <w:marRight w:val="0"/>
      <w:marTop w:val="0"/>
      <w:marBottom w:val="0"/>
      <w:divBdr>
        <w:top w:val="none" w:sz="0" w:space="0" w:color="auto"/>
        <w:left w:val="none" w:sz="0" w:space="0" w:color="auto"/>
        <w:bottom w:val="none" w:sz="0" w:space="0" w:color="auto"/>
        <w:right w:val="none" w:sz="0" w:space="0" w:color="auto"/>
      </w:divBdr>
    </w:div>
    <w:div w:id="202982193">
      <w:bodyDiv w:val="1"/>
      <w:marLeft w:val="0"/>
      <w:marRight w:val="0"/>
      <w:marTop w:val="0"/>
      <w:marBottom w:val="0"/>
      <w:divBdr>
        <w:top w:val="none" w:sz="0" w:space="0" w:color="auto"/>
        <w:left w:val="none" w:sz="0" w:space="0" w:color="auto"/>
        <w:bottom w:val="none" w:sz="0" w:space="0" w:color="auto"/>
        <w:right w:val="none" w:sz="0" w:space="0" w:color="auto"/>
      </w:divBdr>
    </w:div>
    <w:div w:id="254216918">
      <w:bodyDiv w:val="1"/>
      <w:marLeft w:val="0"/>
      <w:marRight w:val="0"/>
      <w:marTop w:val="0"/>
      <w:marBottom w:val="0"/>
      <w:divBdr>
        <w:top w:val="none" w:sz="0" w:space="0" w:color="auto"/>
        <w:left w:val="none" w:sz="0" w:space="0" w:color="auto"/>
        <w:bottom w:val="none" w:sz="0" w:space="0" w:color="auto"/>
        <w:right w:val="none" w:sz="0" w:space="0" w:color="auto"/>
      </w:divBdr>
    </w:div>
    <w:div w:id="278220484">
      <w:bodyDiv w:val="1"/>
      <w:marLeft w:val="0"/>
      <w:marRight w:val="0"/>
      <w:marTop w:val="0"/>
      <w:marBottom w:val="0"/>
      <w:divBdr>
        <w:top w:val="none" w:sz="0" w:space="0" w:color="auto"/>
        <w:left w:val="none" w:sz="0" w:space="0" w:color="auto"/>
        <w:bottom w:val="none" w:sz="0" w:space="0" w:color="auto"/>
        <w:right w:val="none" w:sz="0" w:space="0" w:color="auto"/>
      </w:divBdr>
    </w:div>
    <w:div w:id="294798953">
      <w:bodyDiv w:val="1"/>
      <w:marLeft w:val="0"/>
      <w:marRight w:val="0"/>
      <w:marTop w:val="0"/>
      <w:marBottom w:val="0"/>
      <w:divBdr>
        <w:top w:val="none" w:sz="0" w:space="0" w:color="auto"/>
        <w:left w:val="none" w:sz="0" w:space="0" w:color="auto"/>
        <w:bottom w:val="none" w:sz="0" w:space="0" w:color="auto"/>
        <w:right w:val="none" w:sz="0" w:space="0" w:color="auto"/>
      </w:divBdr>
    </w:div>
    <w:div w:id="321668088">
      <w:bodyDiv w:val="1"/>
      <w:marLeft w:val="0"/>
      <w:marRight w:val="0"/>
      <w:marTop w:val="0"/>
      <w:marBottom w:val="0"/>
      <w:divBdr>
        <w:top w:val="none" w:sz="0" w:space="0" w:color="auto"/>
        <w:left w:val="none" w:sz="0" w:space="0" w:color="auto"/>
        <w:bottom w:val="none" w:sz="0" w:space="0" w:color="auto"/>
        <w:right w:val="none" w:sz="0" w:space="0" w:color="auto"/>
      </w:divBdr>
    </w:div>
    <w:div w:id="340818817">
      <w:bodyDiv w:val="1"/>
      <w:marLeft w:val="0"/>
      <w:marRight w:val="0"/>
      <w:marTop w:val="0"/>
      <w:marBottom w:val="0"/>
      <w:divBdr>
        <w:top w:val="none" w:sz="0" w:space="0" w:color="auto"/>
        <w:left w:val="none" w:sz="0" w:space="0" w:color="auto"/>
        <w:bottom w:val="none" w:sz="0" w:space="0" w:color="auto"/>
        <w:right w:val="none" w:sz="0" w:space="0" w:color="auto"/>
      </w:divBdr>
    </w:div>
    <w:div w:id="342780969">
      <w:bodyDiv w:val="1"/>
      <w:marLeft w:val="0"/>
      <w:marRight w:val="0"/>
      <w:marTop w:val="0"/>
      <w:marBottom w:val="0"/>
      <w:divBdr>
        <w:top w:val="none" w:sz="0" w:space="0" w:color="auto"/>
        <w:left w:val="none" w:sz="0" w:space="0" w:color="auto"/>
        <w:bottom w:val="none" w:sz="0" w:space="0" w:color="auto"/>
        <w:right w:val="none" w:sz="0" w:space="0" w:color="auto"/>
      </w:divBdr>
    </w:div>
    <w:div w:id="353386520">
      <w:bodyDiv w:val="1"/>
      <w:marLeft w:val="0"/>
      <w:marRight w:val="0"/>
      <w:marTop w:val="0"/>
      <w:marBottom w:val="0"/>
      <w:divBdr>
        <w:top w:val="none" w:sz="0" w:space="0" w:color="auto"/>
        <w:left w:val="none" w:sz="0" w:space="0" w:color="auto"/>
        <w:bottom w:val="none" w:sz="0" w:space="0" w:color="auto"/>
        <w:right w:val="none" w:sz="0" w:space="0" w:color="auto"/>
      </w:divBdr>
    </w:div>
    <w:div w:id="355080338">
      <w:bodyDiv w:val="1"/>
      <w:marLeft w:val="0"/>
      <w:marRight w:val="0"/>
      <w:marTop w:val="0"/>
      <w:marBottom w:val="0"/>
      <w:divBdr>
        <w:top w:val="none" w:sz="0" w:space="0" w:color="auto"/>
        <w:left w:val="none" w:sz="0" w:space="0" w:color="auto"/>
        <w:bottom w:val="none" w:sz="0" w:space="0" w:color="auto"/>
        <w:right w:val="none" w:sz="0" w:space="0" w:color="auto"/>
      </w:divBdr>
    </w:div>
    <w:div w:id="361592246">
      <w:bodyDiv w:val="1"/>
      <w:marLeft w:val="0"/>
      <w:marRight w:val="0"/>
      <w:marTop w:val="0"/>
      <w:marBottom w:val="0"/>
      <w:divBdr>
        <w:top w:val="none" w:sz="0" w:space="0" w:color="auto"/>
        <w:left w:val="none" w:sz="0" w:space="0" w:color="auto"/>
        <w:bottom w:val="none" w:sz="0" w:space="0" w:color="auto"/>
        <w:right w:val="none" w:sz="0" w:space="0" w:color="auto"/>
      </w:divBdr>
    </w:div>
    <w:div w:id="363407782">
      <w:bodyDiv w:val="1"/>
      <w:marLeft w:val="0"/>
      <w:marRight w:val="0"/>
      <w:marTop w:val="0"/>
      <w:marBottom w:val="0"/>
      <w:divBdr>
        <w:top w:val="none" w:sz="0" w:space="0" w:color="auto"/>
        <w:left w:val="none" w:sz="0" w:space="0" w:color="auto"/>
        <w:bottom w:val="none" w:sz="0" w:space="0" w:color="auto"/>
        <w:right w:val="none" w:sz="0" w:space="0" w:color="auto"/>
      </w:divBdr>
    </w:div>
    <w:div w:id="367334360">
      <w:bodyDiv w:val="1"/>
      <w:marLeft w:val="0"/>
      <w:marRight w:val="0"/>
      <w:marTop w:val="0"/>
      <w:marBottom w:val="0"/>
      <w:divBdr>
        <w:top w:val="none" w:sz="0" w:space="0" w:color="auto"/>
        <w:left w:val="none" w:sz="0" w:space="0" w:color="auto"/>
        <w:bottom w:val="none" w:sz="0" w:space="0" w:color="auto"/>
        <w:right w:val="none" w:sz="0" w:space="0" w:color="auto"/>
      </w:divBdr>
    </w:div>
    <w:div w:id="371656986">
      <w:bodyDiv w:val="1"/>
      <w:marLeft w:val="0"/>
      <w:marRight w:val="0"/>
      <w:marTop w:val="0"/>
      <w:marBottom w:val="0"/>
      <w:divBdr>
        <w:top w:val="none" w:sz="0" w:space="0" w:color="auto"/>
        <w:left w:val="none" w:sz="0" w:space="0" w:color="auto"/>
        <w:bottom w:val="none" w:sz="0" w:space="0" w:color="auto"/>
        <w:right w:val="none" w:sz="0" w:space="0" w:color="auto"/>
      </w:divBdr>
    </w:div>
    <w:div w:id="379325048">
      <w:bodyDiv w:val="1"/>
      <w:marLeft w:val="0"/>
      <w:marRight w:val="0"/>
      <w:marTop w:val="0"/>
      <w:marBottom w:val="0"/>
      <w:divBdr>
        <w:top w:val="none" w:sz="0" w:space="0" w:color="auto"/>
        <w:left w:val="none" w:sz="0" w:space="0" w:color="auto"/>
        <w:bottom w:val="none" w:sz="0" w:space="0" w:color="auto"/>
        <w:right w:val="none" w:sz="0" w:space="0" w:color="auto"/>
      </w:divBdr>
    </w:div>
    <w:div w:id="421224331">
      <w:bodyDiv w:val="1"/>
      <w:marLeft w:val="0"/>
      <w:marRight w:val="0"/>
      <w:marTop w:val="0"/>
      <w:marBottom w:val="0"/>
      <w:divBdr>
        <w:top w:val="none" w:sz="0" w:space="0" w:color="auto"/>
        <w:left w:val="none" w:sz="0" w:space="0" w:color="auto"/>
        <w:bottom w:val="none" w:sz="0" w:space="0" w:color="auto"/>
        <w:right w:val="none" w:sz="0" w:space="0" w:color="auto"/>
      </w:divBdr>
    </w:div>
    <w:div w:id="427387805">
      <w:bodyDiv w:val="1"/>
      <w:marLeft w:val="0"/>
      <w:marRight w:val="0"/>
      <w:marTop w:val="0"/>
      <w:marBottom w:val="0"/>
      <w:divBdr>
        <w:top w:val="none" w:sz="0" w:space="0" w:color="auto"/>
        <w:left w:val="none" w:sz="0" w:space="0" w:color="auto"/>
        <w:bottom w:val="none" w:sz="0" w:space="0" w:color="auto"/>
        <w:right w:val="none" w:sz="0" w:space="0" w:color="auto"/>
      </w:divBdr>
    </w:div>
    <w:div w:id="468786126">
      <w:bodyDiv w:val="1"/>
      <w:marLeft w:val="0"/>
      <w:marRight w:val="0"/>
      <w:marTop w:val="0"/>
      <w:marBottom w:val="0"/>
      <w:divBdr>
        <w:top w:val="none" w:sz="0" w:space="0" w:color="auto"/>
        <w:left w:val="none" w:sz="0" w:space="0" w:color="auto"/>
        <w:bottom w:val="none" w:sz="0" w:space="0" w:color="auto"/>
        <w:right w:val="none" w:sz="0" w:space="0" w:color="auto"/>
      </w:divBdr>
    </w:div>
    <w:div w:id="480387332">
      <w:bodyDiv w:val="1"/>
      <w:marLeft w:val="0"/>
      <w:marRight w:val="0"/>
      <w:marTop w:val="0"/>
      <w:marBottom w:val="0"/>
      <w:divBdr>
        <w:top w:val="none" w:sz="0" w:space="0" w:color="auto"/>
        <w:left w:val="none" w:sz="0" w:space="0" w:color="auto"/>
        <w:bottom w:val="none" w:sz="0" w:space="0" w:color="auto"/>
        <w:right w:val="none" w:sz="0" w:space="0" w:color="auto"/>
      </w:divBdr>
    </w:div>
    <w:div w:id="498230927">
      <w:bodyDiv w:val="1"/>
      <w:marLeft w:val="0"/>
      <w:marRight w:val="0"/>
      <w:marTop w:val="0"/>
      <w:marBottom w:val="0"/>
      <w:divBdr>
        <w:top w:val="none" w:sz="0" w:space="0" w:color="auto"/>
        <w:left w:val="none" w:sz="0" w:space="0" w:color="auto"/>
        <w:bottom w:val="none" w:sz="0" w:space="0" w:color="auto"/>
        <w:right w:val="none" w:sz="0" w:space="0" w:color="auto"/>
      </w:divBdr>
    </w:div>
    <w:div w:id="510486300">
      <w:bodyDiv w:val="1"/>
      <w:marLeft w:val="0"/>
      <w:marRight w:val="0"/>
      <w:marTop w:val="0"/>
      <w:marBottom w:val="0"/>
      <w:divBdr>
        <w:top w:val="none" w:sz="0" w:space="0" w:color="auto"/>
        <w:left w:val="none" w:sz="0" w:space="0" w:color="auto"/>
        <w:bottom w:val="none" w:sz="0" w:space="0" w:color="auto"/>
        <w:right w:val="none" w:sz="0" w:space="0" w:color="auto"/>
      </w:divBdr>
    </w:div>
    <w:div w:id="546648037">
      <w:bodyDiv w:val="1"/>
      <w:marLeft w:val="0"/>
      <w:marRight w:val="0"/>
      <w:marTop w:val="0"/>
      <w:marBottom w:val="0"/>
      <w:divBdr>
        <w:top w:val="none" w:sz="0" w:space="0" w:color="auto"/>
        <w:left w:val="none" w:sz="0" w:space="0" w:color="auto"/>
        <w:bottom w:val="none" w:sz="0" w:space="0" w:color="auto"/>
        <w:right w:val="none" w:sz="0" w:space="0" w:color="auto"/>
      </w:divBdr>
    </w:div>
    <w:div w:id="556865748">
      <w:bodyDiv w:val="1"/>
      <w:marLeft w:val="0"/>
      <w:marRight w:val="0"/>
      <w:marTop w:val="0"/>
      <w:marBottom w:val="0"/>
      <w:divBdr>
        <w:top w:val="none" w:sz="0" w:space="0" w:color="auto"/>
        <w:left w:val="none" w:sz="0" w:space="0" w:color="auto"/>
        <w:bottom w:val="none" w:sz="0" w:space="0" w:color="auto"/>
        <w:right w:val="none" w:sz="0" w:space="0" w:color="auto"/>
      </w:divBdr>
    </w:div>
    <w:div w:id="590965142">
      <w:bodyDiv w:val="1"/>
      <w:marLeft w:val="0"/>
      <w:marRight w:val="0"/>
      <w:marTop w:val="0"/>
      <w:marBottom w:val="0"/>
      <w:divBdr>
        <w:top w:val="none" w:sz="0" w:space="0" w:color="auto"/>
        <w:left w:val="none" w:sz="0" w:space="0" w:color="auto"/>
        <w:bottom w:val="none" w:sz="0" w:space="0" w:color="auto"/>
        <w:right w:val="none" w:sz="0" w:space="0" w:color="auto"/>
      </w:divBdr>
    </w:div>
    <w:div w:id="605581490">
      <w:bodyDiv w:val="1"/>
      <w:marLeft w:val="0"/>
      <w:marRight w:val="0"/>
      <w:marTop w:val="0"/>
      <w:marBottom w:val="0"/>
      <w:divBdr>
        <w:top w:val="none" w:sz="0" w:space="0" w:color="auto"/>
        <w:left w:val="none" w:sz="0" w:space="0" w:color="auto"/>
        <w:bottom w:val="none" w:sz="0" w:space="0" w:color="auto"/>
        <w:right w:val="none" w:sz="0" w:space="0" w:color="auto"/>
      </w:divBdr>
    </w:div>
    <w:div w:id="637076141">
      <w:bodyDiv w:val="1"/>
      <w:marLeft w:val="0"/>
      <w:marRight w:val="0"/>
      <w:marTop w:val="0"/>
      <w:marBottom w:val="0"/>
      <w:divBdr>
        <w:top w:val="none" w:sz="0" w:space="0" w:color="auto"/>
        <w:left w:val="none" w:sz="0" w:space="0" w:color="auto"/>
        <w:bottom w:val="none" w:sz="0" w:space="0" w:color="auto"/>
        <w:right w:val="none" w:sz="0" w:space="0" w:color="auto"/>
      </w:divBdr>
    </w:div>
    <w:div w:id="666203105">
      <w:bodyDiv w:val="1"/>
      <w:marLeft w:val="0"/>
      <w:marRight w:val="0"/>
      <w:marTop w:val="0"/>
      <w:marBottom w:val="0"/>
      <w:divBdr>
        <w:top w:val="none" w:sz="0" w:space="0" w:color="auto"/>
        <w:left w:val="none" w:sz="0" w:space="0" w:color="auto"/>
        <w:bottom w:val="none" w:sz="0" w:space="0" w:color="auto"/>
        <w:right w:val="none" w:sz="0" w:space="0" w:color="auto"/>
      </w:divBdr>
    </w:div>
    <w:div w:id="669062352">
      <w:bodyDiv w:val="1"/>
      <w:marLeft w:val="0"/>
      <w:marRight w:val="0"/>
      <w:marTop w:val="0"/>
      <w:marBottom w:val="0"/>
      <w:divBdr>
        <w:top w:val="none" w:sz="0" w:space="0" w:color="auto"/>
        <w:left w:val="none" w:sz="0" w:space="0" w:color="auto"/>
        <w:bottom w:val="none" w:sz="0" w:space="0" w:color="auto"/>
        <w:right w:val="none" w:sz="0" w:space="0" w:color="auto"/>
      </w:divBdr>
    </w:div>
    <w:div w:id="678581717">
      <w:bodyDiv w:val="1"/>
      <w:marLeft w:val="0"/>
      <w:marRight w:val="0"/>
      <w:marTop w:val="0"/>
      <w:marBottom w:val="0"/>
      <w:divBdr>
        <w:top w:val="none" w:sz="0" w:space="0" w:color="auto"/>
        <w:left w:val="none" w:sz="0" w:space="0" w:color="auto"/>
        <w:bottom w:val="none" w:sz="0" w:space="0" w:color="auto"/>
        <w:right w:val="none" w:sz="0" w:space="0" w:color="auto"/>
      </w:divBdr>
    </w:div>
    <w:div w:id="720400218">
      <w:bodyDiv w:val="1"/>
      <w:marLeft w:val="0"/>
      <w:marRight w:val="0"/>
      <w:marTop w:val="0"/>
      <w:marBottom w:val="0"/>
      <w:divBdr>
        <w:top w:val="none" w:sz="0" w:space="0" w:color="auto"/>
        <w:left w:val="none" w:sz="0" w:space="0" w:color="auto"/>
        <w:bottom w:val="none" w:sz="0" w:space="0" w:color="auto"/>
        <w:right w:val="none" w:sz="0" w:space="0" w:color="auto"/>
      </w:divBdr>
    </w:div>
    <w:div w:id="769161755">
      <w:bodyDiv w:val="1"/>
      <w:marLeft w:val="0"/>
      <w:marRight w:val="0"/>
      <w:marTop w:val="0"/>
      <w:marBottom w:val="0"/>
      <w:divBdr>
        <w:top w:val="none" w:sz="0" w:space="0" w:color="auto"/>
        <w:left w:val="none" w:sz="0" w:space="0" w:color="auto"/>
        <w:bottom w:val="none" w:sz="0" w:space="0" w:color="auto"/>
        <w:right w:val="none" w:sz="0" w:space="0" w:color="auto"/>
      </w:divBdr>
    </w:div>
    <w:div w:id="775516059">
      <w:bodyDiv w:val="1"/>
      <w:marLeft w:val="0"/>
      <w:marRight w:val="0"/>
      <w:marTop w:val="0"/>
      <w:marBottom w:val="0"/>
      <w:divBdr>
        <w:top w:val="none" w:sz="0" w:space="0" w:color="auto"/>
        <w:left w:val="none" w:sz="0" w:space="0" w:color="auto"/>
        <w:bottom w:val="none" w:sz="0" w:space="0" w:color="auto"/>
        <w:right w:val="none" w:sz="0" w:space="0" w:color="auto"/>
      </w:divBdr>
    </w:div>
    <w:div w:id="791829967">
      <w:bodyDiv w:val="1"/>
      <w:marLeft w:val="0"/>
      <w:marRight w:val="0"/>
      <w:marTop w:val="0"/>
      <w:marBottom w:val="0"/>
      <w:divBdr>
        <w:top w:val="none" w:sz="0" w:space="0" w:color="auto"/>
        <w:left w:val="none" w:sz="0" w:space="0" w:color="auto"/>
        <w:bottom w:val="none" w:sz="0" w:space="0" w:color="auto"/>
        <w:right w:val="none" w:sz="0" w:space="0" w:color="auto"/>
      </w:divBdr>
      <w:divsChild>
        <w:div w:id="2063022795">
          <w:marLeft w:val="274"/>
          <w:marRight w:val="0"/>
          <w:marTop w:val="120"/>
          <w:marBottom w:val="0"/>
          <w:divBdr>
            <w:top w:val="none" w:sz="0" w:space="0" w:color="auto"/>
            <w:left w:val="none" w:sz="0" w:space="0" w:color="auto"/>
            <w:bottom w:val="none" w:sz="0" w:space="0" w:color="auto"/>
            <w:right w:val="none" w:sz="0" w:space="0" w:color="auto"/>
          </w:divBdr>
        </w:div>
        <w:div w:id="1590041584">
          <w:marLeft w:val="274"/>
          <w:marRight w:val="0"/>
          <w:marTop w:val="120"/>
          <w:marBottom w:val="0"/>
          <w:divBdr>
            <w:top w:val="none" w:sz="0" w:space="0" w:color="auto"/>
            <w:left w:val="none" w:sz="0" w:space="0" w:color="auto"/>
            <w:bottom w:val="none" w:sz="0" w:space="0" w:color="auto"/>
            <w:right w:val="none" w:sz="0" w:space="0" w:color="auto"/>
          </w:divBdr>
        </w:div>
        <w:div w:id="1924296212">
          <w:marLeft w:val="274"/>
          <w:marRight w:val="0"/>
          <w:marTop w:val="120"/>
          <w:marBottom w:val="200"/>
          <w:divBdr>
            <w:top w:val="none" w:sz="0" w:space="0" w:color="auto"/>
            <w:left w:val="none" w:sz="0" w:space="0" w:color="auto"/>
            <w:bottom w:val="none" w:sz="0" w:space="0" w:color="auto"/>
            <w:right w:val="none" w:sz="0" w:space="0" w:color="auto"/>
          </w:divBdr>
        </w:div>
      </w:divsChild>
    </w:div>
    <w:div w:id="792795407">
      <w:bodyDiv w:val="1"/>
      <w:marLeft w:val="0"/>
      <w:marRight w:val="0"/>
      <w:marTop w:val="0"/>
      <w:marBottom w:val="0"/>
      <w:divBdr>
        <w:top w:val="none" w:sz="0" w:space="0" w:color="auto"/>
        <w:left w:val="none" w:sz="0" w:space="0" w:color="auto"/>
        <w:bottom w:val="none" w:sz="0" w:space="0" w:color="auto"/>
        <w:right w:val="none" w:sz="0" w:space="0" w:color="auto"/>
      </w:divBdr>
    </w:div>
    <w:div w:id="821428405">
      <w:bodyDiv w:val="1"/>
      <w:marLeft w:val="0"/>
      <w:marRight w:val="0"/>
      <w:marTop w:val="0"/>
      <w:marBottom w:val="0"/>
      <w:divBdr>
        <w:top w:val="none" w:sz="0" w:space="0" w:color="auto"/>
        <w:left w:val="none" w:sz="0" w:space="0" w:color="auto"/>
        <w:bottom w:val="none" w:sz="0" w:space="0" w:color="auto"/>
        <w:right w:val="none" w:sz="0" w:space="0" w:color="auto"/>
      </w:divBdr>
    </w:div>
    <w:div w:id="837118902">
      <w:bodyDiv w:val="1"/>
      <w:marLeft w:val="0"/>
      <w:marRight w:val="0"/>
      <w:marTop w:val="0"/>
      <w:marBottom w:val="0"/>
      <w:divBdr>
        <w:top w:val="none" w:sz="0" w:space="0" w:color="auto"/>
        <w:left w:val="none" w:sz="0" w:space="0" w:color="auto"/>
        <w:bottom w:val="none" w:sz="0" w:space="0" w:color="auto"/>
        <w:right w:val="none" w:sz="0" w:space="0" w:color="auto"/>
      </w:divBdr>
    </w:div>
    <w:div w:id="853543558">
      <w:bodyDiv w:val="1"/>
      <w:marLeft w:val="0"/>
      <w:marRight w:val="0"/>
      <w:marTop w:val="0"/>
      <w:marBottom w:val="0"/>
      <w:divBdr>
        <w:top w:val="none" w:sz="0" w:space="0" w:color="auto"/>
        <w:left w:val="none" w:sz="0" w:space="0" w:color="auto"/>
        <w:bottom w:val="none" w:sz="0" w:space="0" w:color="auto"/>
        <w:right w:val="none" w:sz="0" w:space="0" w:color="auto"/>
      </w:divBdr>
    </w:div>
    <w:div w:id="854729685">
      <w:bodyDiv w:val="1"/>
      <w:marLeft w:val="0"/>
      <w:marRight w:val="0"/>
      <w:marTop w:val="0"/>
      <w:marBottom w:val="0"/>
      <w:divBdr>
        <w:top w:val="none" w:sz="0" w:space="0" w:color="auto"/>
        <w:left w:val="none" w:sz="0" w:space="0" w:color="auto"/>
        <w:bottom w:val="none" w:sz="0" w:space="0" w:color="auto"/>
        <w:right w:val="none" w:sz="0" w:space="0" w:color="auto"/>
      </w:divBdr>
      <w:divsChild>
        <w:div w:id="494616985">
          <w:marLeft w:val="360"/>
          <w:marRight w:val="0"/>
          <w:marTop w:val="0"/>
          <w:marBottom w:val="0"/>
          <w:divBdr>
            <w:top w:val="none" w:sz="0" w:space="0" w:color="auto"/>
            <w:left w:val="none" w:sz="0" w:space="0" w:color="auto"/>
            <w:bottom w:val="none" w:sz="0" w:space="0" w:color="auto"/>
            <w:right w:val="none" w:sz="0" w:space="0" w:color="auto"/>
          </w:divBdr>
        </w:div>
        <w:div w:id="214777641">
          <w:marLeft w:val="360"/>
          <w:marRight w:val="0"/>
          <w:marTop w:val="0"/>
          <w:marBottom w:val="0"/>
          <w:divBdr>
            <w:top w:val="none" w:sz="0" w:space="0" w:color="auto"/>
            <w:left w:val="none" w:sz="0" w:space="0" w:color="auto"/>
            <w:bottom w:val="none" w:sz="0" w:space="0" w:color="auto"/>
            <w:right w:val="none" w:sz="0" w:space="0" w:color="auto"/>
          </w:divBdr>
        </w:div>
        <w:div w:id="1055354574">
          <w:marLeft w:val="360"/>
          <w:marRight w:val="0"/>
          <w:marTop w:val="0"/>
          <w:marBottom w:val="0"/>
          <w:divBdr>
            <w:top w:val="none" w:sz="0" w:space="0" w:color="auto"/>
            <w:left w:val="none" w:sz="0" w:space="0" w:color="auto"/>
            <w:bottom w:val="none" w:sz="0" w:space="0" w:color="auto"/>
            <w:right w:val="none" w:sz="0" w:space="0" w:color="auto"/>
          </w:divBdr>
        </w:div>
        <w:div w:id="321277009">
          <w:marLeft w:val="360"/>
          <w:marRight w:val="0"/>
          <w:marTop w:val="0"/>
          <w:marBottom w:val="0"/>
          <w:divBdr>
            <w:top w:val="none" w:sz="0" w:space="0" w:color="auto"/>
            <w:left w:val="none" w:sz="0" w:space="0" w:color="auto"/>
            <w:bottom w:val="none" w:sz="0" w:space="0" w:color="auto"/>
            <w:right w:val="none" w:sz="0" w:space="0" w:color="auto"/>
          </w:divBdr>
        </w:div>
        <w:div w:id="2109153273">
          <w:marLeft w:val="360"/>
          <w:marRight w:val="0"/>
          <w:marTop w:val="0"/>
          <w:marBottom w:val="0"/>
          <w:divBdr>
            <w:top w:val="none" w:sz="0" w:space="0" w:color="auto"/>
            <w:left w:val="none" w:sz="0" w:space="0" w:color="auto"/>
            <w:bottom w:val="none" w:sz="0" w:space="0" w:color="auto"/>
            <w:right w:val="none" w:sz="0" w:space="0" w:color="auto"/>
          </w:divBdr>
        </w:div>
      </w:divsChild>
    </w:div>
    <w:div w:id="855078300">
      <w:bodyDiv w:val="1"/>
      <w:marLeft w:val="0"/>
      <w:marRight w:val="0"/>
      <w:marTop w:val="0"/>
      <w:marBottom w:val="0"/>
      <w:divBdr>
        <w:top w:val="none" w:sz="0" w:space="0" w:color="auto"/>
        <w:left w:val="none" w:sz="0" w:space="0" w:color="auto"/>
        <w:bottom w:val="none" w:sz="0" w:space="0" w:color="auto"/>
        <w:right w:val="none" w:sz="0" w:space="0" w:color="auto"/>
      </w:divBdr>
    </w:div>
    <w:div w:id="872226105">
      <w:bodyDiv w:val="1"/>
      <w:marLeft w:val="0"/>
      <w:marRight w:val="0"/>
      <w:marTop w:val="0"/>
      <w:marBottom w:val="0"/>
      <w:divBdr>
        <w:top w:val="none" w:sz="0" w:space="0" w:color="auto"/>
        <w:left w:val="none" w:sz="0" w:space="0" w:color="auto"/>
        <w:bottom w:val="none" w:sz="0" w:space="0" w:color="auto"/>
        <w:right w:val="none" w:sz="0" w:space="0" w:color="auto"/>
      </w:divBdr>
    </w:div>
    <w:div w:id="897060273">
      <w:bodyDiv w:val="1"/>
      <w:marLeft w:val="0"/>
      <w:marRight w:val="0"/>
      <w:marTop w:val="0"/>
      <w:marBottom w:val="0"/>
      <w:divBdr>
        <w:top w:val="none" w:sz="0" w:space="0" w:color="auto"/>
        <w:left w:val="none" w:sz="0" w:space="0" w:color="auto"/>
        <w:bottom w:val="none" w:sz="0" w:space="0" w:color="auto"/>
        <w:right w:val="none" w:sz="0" w:space="0" w:color="auto"/>
      </w:divBdr>
    </w:div>
    <w:div w:id="914511892">
      <w:bodyDiv w:val="1"/>
      <w:marLeft w:val="0"/>
      <w:marRight w:val="0"/>
      <w:marTop w:val="0"/>
      <w:marBottom w:val="0"/>
      <w:divBdr>
        <w:top w:val="none" w:sz="0" w:space="0" w:color="auto"/>
        <w:left w:val="none" w:sz="0" w:space="0" w:color="auto"/>
        <w:bottom w:val="none" w:sz="0" w:space="0" w:color="auto"/>
        <w:right w:val="none" w:sz="0" w:space="0" w:color="auto"/>
      </w:divBdr>
    </w:div>
    <w:div w:id="919755341">
      <w:bodyDiv w:val="1"/>
      <w:marLeft w:val="0"/>
      <w:marRight w:val="0"/>
      <w:marTop w:val="0"/>
      <w:marBottom w:val="0"/>
      <w:divBdr>
        <w:top w:val="none" w:sz="0" w:space="0" w:color="auto"/>
        <w:left w:val="none" w:sz="0" w:space="0" w:color="auto"/>
        <w:bottom w:val="none" w:sz="0" w:space="0" w:color="auto"/>
        <w:right w:val="none" w:sz="0" w:space="0" w:color="auto"/>
      </w:divBdr>
    </w:div>
    <w:div w:id="956911315">
      <w:bodyDiv w:val="1"/>
      <w:marLeft w:val="0"/>
      <w:marRight w:val="0"/>
      <w:marTop w:val="0"/>
      <w:marBottom w:val="0"/>
      <w:divBdr>
        <w:top w:val="none" w:sz="0" w:space="0" w:color="auto"/>
        <w:left w:val="none" w:sz="0" w:space="0" w:color="auto"/>
        <w:bottom w:val="none" w:sz="0" w:space="0" w:color="auto"/>
        <w:right w:val="none" w:sz="0" w:space="0" w:color="auto"/>
      </w:divBdr>
    </w:div>
    <w:div w:id="969750432">
      <w:bodyDiv w:val="1"/>
      <w:marLeft w:val="0"/>
      <w:marRight w:val="0"/>
      <w:marTop w:val="0"/>
      <w:marBottom w:val="0"/>
      <w:divBdr>
        <w:top w:val="none" w:sz="0" w:space="0" w:color="auto"/>
        <w:left w:val="none" w:sz="0" w:space="0" w:color="auto"/>
        <w:bottom w:val="none" w:sz="0" w:space="0" w:color="auto"/>
        <w:right w:val="none" w:sz="0" w:space="0" w:color="auto"/>
      </w:divBdr>
    </w:div>
    <w:div w:id="1004091511">
      <w:bodyDiv w:val="1"/>
      <w:marLeft w:val="0"/>
      <w:marRight w:val="0"/>
      <w:marTop w:val="0"/>
      <w:marBottom w:val="0"/>
      <w:divBdr>
        <w:top w:val="none" w:sz="0" w:space="0" w:color="auto"/>
        <w:left w:val="none" w:sz="0" w:space="0" w:color="auto"/>
        <w:bottom w:val="none" w:sz="0" w:space="0" w:color="auto"/>
        <w:right w:val="none" w:sz="0" w:space="0" w:color="auto"/>
      </w:divBdr>
    </w:div>
    <w:div w:id="1004362183">
      <w:bodyDiv w:val="1"/>
      <w:marLeft w:val="0"/>
      <w:marRight w:val="0"/>
      <w:marTop w:val="0"/>
      <w:marBottom w:val="0"/>
      <w:divBdr>
        <w:top w:val="none" w:sz="0" w:space="0" w:color="auto"/>
        <w:left w:val="none" w:sz="0" w:space="0" w:color="auto"/>
        <w:bottom w:val="none" w:sz="0" w:space="0" w:color="auto"/>
        <w:right w:val="none" w:sz="0" w:space="0" w:color="auto"/>
      </w:divBdr>
    </w:div>
    <w:div w:id="1012683217">
      <w:bodyDiv w:val="1"/>
      <w:marLeft w:val="0"/>
      <w:marRight w:val="0"/>
      <w:marTop w:val="0"/>
      <w:marBottom w:val="0"/>
      <w:divBdr>
        <w:top w:val="none" w:sz="0" w:space="0" w:color="auto"/>
        <w:left w:val="none" w:sz="0" w:space="0" w:color="auto"/>
        <w:bottom w:val="none" w:sz="0" w:space="0" w:color="auto"/>
        <w:right w:val="none" w:sz="0" w:space="0" w:color="auto"/>
      </w:divBdr>
      <w:divsChild>
        <w:div w:id="344017643">
          <w:marLeft w:val="0"/>
          <w:marRight w:val="0"/>
          <w:marTop w:val="0"/>
          <w:marBottom w:val="0"/>
          <w:divBdr>
            <w:top w:val="none" w:sz="0" w:space="0" w:color="auto"/>
            <w:left w:val="none" w:sz="0" w:space="0" w:color="auto"/>
            <w:bottom w:val="none" w:sz="0" w:space="0" w:color="auto"/>
            <w:right w:val="none" w:sz="0" w:space="0" w:color="auto"/>
          </w:divBdr>
        </w:div>
      </w:divsChild>
    </w:div>
    <w:div w:id="1016081494">
      <w:bodyDiv w:val="1"/>
      <w:marLeft w:val="0"/>
      <w:marRight w:val="0"/>
      <w:marTop w:val="0"/>
      <w:marBottom w:val="0"/>
      <w:divBdr>
        <w:top w:val="none" w:sz="0" w:space="0" w:color="auto"/>
        <w:left w:val="none" w:sz="0" w:space="0" w:color="auto"/>
        <w:bottom w:val="none" w:sz="0" w:space="0" w:color="auto"/>
        <w:right w:val="none" w:sz="0" w:space="0" w:color="auto"/>
      </w:divBdr>
      <w:divsChild>
        <w:div w:id="968776397">
          <w:marLeft w:val="274"/>
          <w:marRight w:val="0"/>
          <w:marTop w:val="120"/>
          <w:marBottom w:val="0"/>
          <w:divBdr>
            <w:top w:val="none" w:sz="0" w:space="0" w:color="auto"/>
            <w:left w:val="none" w:sz="0" w:space="0" w:color="auto"/>
            <w:bottom w:val="none" w:sz="0" w:space="0" w:color="auto"/>
            <w:right w:val="none" w:sz="0" w:space="0" w:color="auto"/>
          </w:divBdr>
        </w:div>
        <w:div w:id="952512542">
          <w:marLeft w:val="274"/>
          <w:marRight w:val="0"/>
          <w:marTop w:val="120"/>
          <w:marBottom w:val="0"/>
          <w:divBdr>
            <w:top w:val="none" w:sz="0" w:space="0" w:color="auto"/>
            <w:left w:val="none" w:sz="0" w:space="0" w:color="auto"/>
            <w:bottom w:val="none" w:sz="0" w:space="0" w:color="auto"/>
            <w:right w:val="none" w:sz="0" w:space="0" w:color="auto"/>
          </w:divBdr>
        </w:div>
        <w:div w:id="1127160375">
          <w:marLeft w:val="274"/>
          <w:marRight w:val="0"/>
          <w:marTop w:val="120"/>
          <w:marBottom w:val="0"/>
          <w:divBdr>
            <w:top w:val="none" w:sz="0" w:space="0" w:color="auto"/>
            <w:left w:val="none" w:sz="0" w:space="0" w:color="auto"/>
            <w:bottom w:val="none" w:sz="0" w:space="0" w:color="auto"/>
            <w:right w:val="none" w:sz="0" w:space="0" w:color="auto"/>
          </w:divBdr>
        </w:div>
      </w:divsChild>
    </w:div>
    <w:div w:id="1022514874">
      <w:bodyDiv w:val="1"/>
      <w:marLeft w:val="0"/>
      <w:marRight w:val="0"/>
      <w:marTop w:val="0"/>
      <w:marBottom w:val="0"/>
      <w:divBdr>
        <w:top w:val="none" w:sz="0" w:space="0" w:color="auto"/>
        <w:left w:val="none" w:sz="0" w:space="0" w:color="auto"/>
        <w:bottom w:val="none" w:sz="0" w:space="0" w:color="auto"/>
        <w:right w:val="none" w:sz="0" w:space="0" w:color="auto"/>
      </w:divBdr>
    </w:div>
    <w:div w:id="1028725497">
      <w:bodyDiv w:val="1"/>
      <w:marLeft w:val="0"/>
      <w:marRight w:val="0"/>
      <w:marTop w:val="0"/>
      <w:marBottom w:val="0"/>
      <w:divBdr>
        <w:top w:val="none" w:sz="0" w:space="0" w:color="auto"/>
        <w:left w:val="none" w:sz="0" w:space="0" w:color="auto"/>
        <w:bottom w:val="none" w:sz="0" w:space="0" w:color="auto"/>
        <w:right w:val="none" w:sz="0" w:space="0" w:color="auto"/>
      </w:divBdr>
    </w:div>
    <w:div w:id="1035812573">
      <w:bodyDiv w:val="1"/>
      <w:marLeft w:val="0"/>
      <w:marRight w:val="0"/>
      <w:marTop w:val="0"/>
      <w:marBottom w:val="0"/>
      <w:divBdr>
        <w:top w:val="none" w:sz="0" w:space="0" w:color="auto"/>
        <w:left w:val="none" w:sz="0" w:space="0" w:color="auto"/>
        <w:bottom w:val="none" w:sz="0" w:space="0" w:color="auto"/>
        <w:right w:val="none" w:sz="0" w:space="0" w:color="auto"/>
      </w:divBdr>
    </w:div>
    <w:div w:id="1061252622">
      <w:bodyDiv w:val="1"/>
      <w:marLeft w:val="0"/>
      <w:marRight w:val="0"/>
      <w:marTop w:val="0"/>
      <w:marBottom w:val="0"/>
      <w:divBdr>
        <w:top w:val="none" w:sz="0" w:space="0" w:color="auto"/>
        <w:left w:val="none" w:sz="0" w:space="0" w:color="auto"/>
        <w:bottom w:val="none" w:sz="0" w:space="0" w:color="auto"/>
        <w:right w:val="none" w:sz="0" w:space="0" w:color="auto"/>
      </w:divBdr>
    </w:div>
    <w:div w:id="1086615125">
      <w:bodyDiv w:val="1"/>
      <w:marLeft w:val="0"/>
      <w:marRight w:val="0"/>
      <w:marTop w:val="0"/>
      <w:marBottom w:val="0"/>
      <w:divBdr>
        <w:top w:val="none" w:sz="0" w:space="0" w:color="auto"/>
        <w:left w:val="none" w:sz="0" w:space="0" w:color="auto"/>
        <w:bottom w:val="none" w:sz="0" w:space="0" w:color="auto"/>
        <w:right w:val="none" w:sz="0" w:space="0" w:color="auto"/>
      </w:divBdr>
    </w:div>
    <w:div w:id="1088964576">
      <w:bodyDiv w:val="1"/>
      <w:marLeft w:val="0"/>
      <w:marRight w:val="0"/>
      <w:marTop w:val="0"/>
      <w:marBottom w:val="0"/>
      <w:divBdr>
        <w:top w:val="none" w:sz="0" w:space="0" w:color="auto"/>
        <w:left w:val="none" w:sz="0" w:space="0" w:color="auto"/>
        <w:bottom w:val="none" w:sz="0" w:space="0" w:color="auto"/>
        <w:right w:val="none" w:sz="0" w:space="0" w:color="auto"/>
      </w:divBdr>
    </w:div>
    <w:div w:id="1090077309">
      <w:bodyDiv w:val="1"/>
      <w:marLeft w:val="0"/>
      <w:marRight w:val="0"/>
      <w:marTop w:val="0"/>
      <w:marBottom w:val="0"/>
      <w:divBdr>
        <w:top w:val="none" w:sz="0" w:space="0" w:color="auto"/>
        <w:left w:val="none" w:sz="0" w:space="0" w:color="auto"/>
        <w:bottom w:val="none" w:sz="0" w:space="0" w:color="auto"/>
        <w:right w:val="none" w:sz="0" w:space="0" w:color="auto"/>
      </w:divBdr>
    </w:div>
    <w:div w:id="1096514591">
      <w:bodyDiv w:val="1"/>
      <w:marLeft w:val="0"/>
      <w:marRight w:val="0"/>
      <w:marTop w:val="0"/>
      <w:marBottom w:val="0"/>
      <w:divBdr>
        <w:top w:val="none" w:sz="0" w:space="0" w:color="auto"/>
        <w:left w:val="none" w:sz="0" w:space="0" w:color="auto"/>
        <w:bottom w:val="none" w:sz="0" w:space="0" w:color="auto"/>
        <w:right w:val="none" w:sz="0" w:space="0" w:color="auto"/>
      </w:divBdr>
    </w:div>
    <w:div w:id="1121654659">
      <w:bodyDiv w:val="1"/>
      <w:marLeft w:val="0"/>
      <w:marRight w:val="0"/>
      <w:marTop w:val="0"/>
      <w:marBottom w:val="0"/>
      <w:divBdr>
        <w:top w:val="none" w:sz="0" w:space="0" w:color="auto"/>
        <w:left w:val="none" w:sz="0" w:space="0" w:color="auto"/>
        <w:bottom w:val="none" w:sz="0" w:space="0" w:color="auto"/>
        <w:right w:val="none" w:sz="0" w:space="0" w:color="auto"/>
      </w:divBdr>
    </w:div>
    <w:div w:id="1141189328">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0">
          <w:marLeft w:val="274"/>
          <w:marRight w:val="0"/>
          <w:marTop w:val="0"/>
          <w:marBottom w:val="160"/>
          <w:divBdr>
            <w:top w:val="none" w:sz="0" w:space="0" w:color="auto"/>
            <w:left w:val="none" w:sz="0" w:space="0" w:color="auto"/>
            <w:bottom w:val="none" w:sz="0" w:space="0" w:color="auto"/>
            <w:right w:val="none" w:sz="0" w:space="0" w:color="auto"/>
          </w:divBdr>
        </w:div>
        <w:div w:id="1377580173">
          <w:marLeft w:val="274"/>
          <w:marRight w:val="0"/>
          <w:marTop w:val="0"/>
          <w:marBottom w:val="160"/>
          <w:divBdr>
            <w:top w:val="none" w:sz="0" w:space="0" w:color="auto"/>
            <w:left w:val="none" w:sz="0" w:space="0" w:color="auto"/>
            <w:bottom w:val="none" w:sz="0" w:space="0" w:color="auto"/>
            <w:right w:val="none" w:sz="0" w:space="0" w:color="auto"/>
          </w:divBdr>
        </w:div>
        <w:div w:id="1591354532">
          <w:marLeft w:val="274"/>
          <w:marRight w:val="0"/>
          <w:marTop w:val="0"/>
          <w:marBottom w:val="160"/>
          <w:divBdr>
            <w:top w:val="none" w:sz="0" w:space="0" w:color="auto"/>
            <w:left w:val="none" w:sz="0" w:space="0" w:color="auto"/>
            <w:bottom w:val="none" w:sz="0" w:space="0" w:color="auto"/>
            <w:right w:val="none" w:sz="0" w:space="0" w:color="auto"/>
          </w:divBdr>
        </w:div>
        <w:div w:id="18090170">
          <w:marLeft w:val="274"/>
          <w:marRight w:val="0"/>
          <w:marTop w:val="0"/>
          <w:marBottom w:val="160"/>
          <w:divBdr>
            <w:top w:val="none" w:sz="0" w:space="0" w:color="auto"/>
            <w:left w:val="none" w:sz="0" w:space="0" w:color="auto"/>
            <w:bottom w:val="none" w:sz="0" w:space="0" w:color="auto"/>
            <w:right w:val="none" w:sz="0" w:space="0" w:color="auto"/>
          </w:divBdr>
        </w:div>
      </w:divsChild>
    </w:div>
    <w:div w:id="1154764495">
      <w:bodyDiv w:val="1"/>
      <w:marLeft w:val="0"/>
      <w:marRight w:val="0"/>
      <w:marTop w:val="0"/>
      <w:marBottom w:val="0"/>
      <w:divBdr>
        <w:top w:val="none" w:sz="0" w:space="0" w:color="auto"/>
        <w:left w:val="none" w:sz="0" w:space="0" w:color="auto"/>
        <w:bottom w:val="none" w:sz="0" w:space="0" w:color="auto"/>
        <w:right w:val="none" w:sz="0" w:space="0" w:color="auto"/>
      </w:divBdr>
    </w:div>
    <w:div w:id="1159233025">
      <w:bodyDiv w:val="1"/>
      <w:marLeft w:val="0"/>
      <w:marRight w:val="0"/>
      <w:marTop w:val="0"/>
      <w:marBottom w:val="0"/>
      <w:divBdr>
        <w:top w:val="none" w:sz="0" w:space="0" w:color="auto"/>
        <w:left w:val="none" w:sz="0" w:space="0" w:color="auto"/>
        <w:bottom w:val="none" w:sz="0" w:space="0" w:color="auto"/>
        <w:right w:val="none" w:sz="0" w:space="0" w:color="auto"/>
      </w:divBdr>
    </w:div>
    <w:div w:id="1179658749">
      <w:bodyDiv w:val="1"/>
      <w:marLeft w:val="0"/>
      <w:marRight w:val="0"/>
      <w:marTop w:val="0"/>
      <w:marBottom w:val="0"/>
      <w:divBdr>
        <w:top w:val="none" w:sz="0" w:space="0" w:color="auto"/>
        <w:left w:val="none" w:sz="0" w:space="0" w:color="auto"/>
        <w:bottom w:val="none" w:sz="0" w:space="0" w:color="auto"/>
        <w:right w:val="none" w:sz="0" w:space="0" w:color="auto"/>
      </w:divBdr>
    </w:div>
    <w:div w:id="1218083129">
      <w:bodyDiv w:val="1"/>
      <w:marLeft w:val="0"/>
      <w:marRight w:val="0"/>
      <w:marTop w:val="0"/>
      <w:marBottom w:val="0"/>
      <w:divBdr>
        <w:top w:val="none" w:sz="0" w:space="0" w:color="auto"/>
        <w:left w:val="none" w:sz="0" w:space="0" w:color="auto"/>
        <w:bottom w:val="none" w:sz="0" w:space="0" w:color="auto"/>
        <w:right w:val="none" w:sz="0" w:space="0" w:color="auto"/>
      </w:divBdr>
    </w:div>
    <w:div w:id="1274096153">
      <w:bodyDiv w:val="1"/>
      <w:marLeft w:val="0"/>
      <w:marRight w:val="0"/>
      <w:marTop w:val="0"/>
      <w:marBottom w:val="0"/>
      <w:divBdr>
        <w:top w:val="none" w:sz="0" w:space="0" w:color="auto"/>
        <w:left w:val="none" w:sz="0" w:space="0" w:color="auto"/>
        <w:bottom w:val="none" w:sz="0" w:space="0" w:color="auto"/>
        <w:right w:val="none" w:sz="0" w:space="0" w:color="auto"/>
      </w:divBdr>
    </w:div>
    <w:div w:id="1279406982">
      <w:bodyDiv w:val="1"/>
      <w:marLeft w:val="0"/>
      <w:marRight w:val="0"/>
      <w:marTop w:val="0"/>
      <w:marBottom w:val="0"/>
      <w:divBdr>
        <w:top w:val="none" w:sz="0" w:space="0" w:color="auto"/>
        <w:left w:val="none" w:sz="0" w:space="0" w:color="auto"/>
        <w:bottom w:val="none" w:sz="0" w:space="0" w:color="auto"/>
        <w:right w:val="none" w:sz="0" w:space="0" w:color="auto"/>
      </w:divBdr>
    </w:div>
    <w:div w:id="1300575457">
      <w:bodyDiv w:val="1"/>
      <w:marLeft w:val="0"/>
      <w:marRight w:val="0"/>
      <w:marTop w:val="0"/>
      <w:marBottom w:val="0"/>
      <w:divBdr>
        <w:top w:val="none" w:sz="0" w:space="0" w:color="auto"/>
        <w:left w:val="none" w:sz="0" w:space="0" w:color="auto"/>
        <w:bottom w:val="none" w:sz="0" w:space="0" w:color="auto"/>
        <w:right w:val="none" w:sz="0" w:space="0" w:color="auto"/>
      </w:divBdr>
    </w:div>
    <w:div w:id="1304772069">
      <w:bodyDiv w:val="1"/>
      <w:marLeft w:val="0"/>
      <w:marRight w:val="0"/>
      <w:marTop w:val="0"/>
      <w:marBottom w:val="0"/>
      <w:divBdr>
        <w:top w:val="none" w:sz="0" w:space="0" w:color="auto"/>
        <w:left w:val="none" w:sz="0" w:space="0" w:color="auto"/>
        <w:bottom w:val="none" w:sz="0" w:space="0" w:color="auto"/>
        <w:right w:val="none" w:sz="0" w:space="0" w:color="auto"/>
      </w:divBdr>
    </w:div>
    <w:div w:id="1315375522">
      <w:bodyDiv w:val="1"/>
      <w:marLeft w:val="0"/>
      <w:marRight w:val="0"/>
      <w:marTop w:val="0"/>
      <w:marBottom w:val="0"/>
      <w:divBdr>
        <w:top w:val="none" w:sz="0" w:space="0" w:color="auto"/>
        <w:left w:val="none" w:sz="0" w:space="0" w:color="auto"/>
        <w:bottom w:val="none" w:sz="0" w:space="0" w:color="auto"/>
        <w:right w:val="none" w:sz="0" w:space="0" w:color="auto"/>
      </w:divBdr>
    </w:div>
    <w:div w:id="1319117234">
      <w:bodyDiv w:val="1"/>
      <w:marLeft w:val="0"/>
      <w:marRight w:val="0"/>
      <w:marTop w:val="0"/>
      <w:marBottom w:val="0"/>
      <w:divBdr>
        <w:top w:val="none" w:sz="0" w:space="0" w:color="auto"/>
        <w:left w:val="none" w:sz="0" w:space="0" w:color="auto"/>
        <w:bottom w:val="none" w:sz="0" w:space="0" w:color="auto"/>
        <w:right w:val="none" w:sz="0" w:space="0" w:color="auto"/>
      </w:divBdr>
    </w:div>
    <w:div w:id="1320422307">
      <w:bodyDiv w:val="1"/>
      <w:marLeft w:val="0"/>
      <w:marRight w:val="0"/>
      <w:marTop w:val="0"/>
      <w:marBottom w:val="0"/>
      <w:divBdr>
        <w:top w:val="none" w:sz="0" w:space="0" w:color="auto"/>
        <w:left w:val="none" w:sz="0" w:space="0" w:color="auto"/>
        <w:bottom w:val="none" w:sz="0" w:space="0" w:color="auto"/>
        <w:right w:val="none" w:sz="0" w:space="0" w:color="auto"/>
      </w:divBdr>
    </w:div>
    <w:div w:id="1344357522">
      <w:bodyDiv w:val="1"/>
      <w:marLeft w:val="0"/>
      <w:marRight w:val="0"/>
      <w:marTop w:val="0"/>
      <w:marBottom w:val="0"/>
      <w:divBdr>
        <w:top w:val="none" w:sz="0" w:space="0" w:color="auto"/>
        <w:left w:val="none" w:sz="0" w:space="0" w:color="auto"/>
        <w:bottom w:val="none" w:sz="0" w:space="0" w:color="auto"/>
        <w:right w:val="none" w:sz="0" w:space="0" w:color="auto"/>
      </w:divBdr>
    </w:div>
    <w:div w:id="1347295130">
      <w:bodyDiv w:val="1"/>
      <w:marLeft w:val="0"/>
      <w:marRight w:val="0"/>
      <w:marTop w:val="0"/>
      <w:marBottom w:val="0"/>
      <w:divBdr>
        <w:top w:val="none" w:sz="0" w:space="0" w:color="auto"/>
        <w:left w:val="none" w:sz="0" w:space="0" w:color="auto"/>
        <w:bottom w:val="none" w:sz="0" w:space="0" w:color="auto"/>
        <w:right w:val="none" w:sz="0" w:space="0" w:color="auto"/>
      </w:divBdr>
      <w:divsChild>
        <w:div w:id="891111424">
          <w:marLeft w:val="0"/>
          <w:marRight w:val="0"/>
          <w:marTop w:val="0"/>
          <w:marBottom w:val="0"/>
          <w:divBdr>
            <w:top w:val="none" w:sz="0" w:space="0" w:color="auto"/>
            <w:left w:val="none" w:sz="0" w:space="0" w:color="auto"/>
            <w:bottom w:val="none" w:sz="0" w:space="0" w:color="auto"/>
            <w:right w:val="none" w:sz="0" w:space="0" w:color="auto"/>
          </w:divBdr>
        </w:div>
      </w:divsChild>
    </w:div>
    <w:div w:id="1384254146">
      <w:bodyDiv w:val="1"/>
      <w:marLeft w:val="0"/>
      <w:marRight w:val="0"/>
      <w:marTop w:val="0"/>
      <w:marBottom w:val="0"/>
      <w:divBdr>
        <w:top w:val="none" w:sz="0" w:space="0" w:color="auto"/>
        <w:left w:val="none" w:sz="0" w:space="0" w:color="auto"/>
        <w:bottom w:val="none" w:sz="0" w:space="0" w:color="auto"/>
        <w:right w:val="none" w:sz="0" w:space="0" w:color="auto"/>
      </w:divBdr>
      <w:divsChild>
        <w:div w:id="826438757">
          <w:marLeft w:val="547"/>
          <w:marRight w:val="0"/>
          <w:marTop w:val="0"/>
          <w:marBottom w:val="120"/>
          <w:divBdr>
            <w:top w:val="none" w:sz="0" w:space="0" w:color="auto"/>
            <w:left w:val="none" w:sz="0" w:space="0" w:color="auto"/>
            <w:bottom w:val="none" w:sz="0" w:space="0" w:color="auto"/>
            <w:right w:val="none" w:sz="0" w:space="0" w:color="auto"/>
          </w:divBdr>
        </w:div>
        <w:div w:id="670447993">
          <w:marLeft w:val="547"/>
          <w:marRight w:val="0"/>
          <w:marTop w:val="0"/>
          <w:marBottom w:val="120"/>
          <w:divBdr>
            <w:top w:val="none" w:sz="0" w:space="0" w:color="auto"/>
            <w:left w:val="none" w:sz="0" w:space="0" w:color="auto"/>
            <w:bottom w:val="none" w:sz="0" w:space="0" w:color="auto"/>
            <w:right w:val="none" w:sz="0" w:space="0" w:color="auto"/>
          </w:divBdr>
        </w:div>
        <w:div w:id="1947348285">
          <w:marLeft w:val="547"/>
          <w:marRight w:val="0"/>
          <w:marTop w:val="0"/>
          <w:marBottom w:val="120"/>
          <w:divBdr>
            <w:top w:val="none" w:sz="0" w:space="0" w:color="auto"/>
            <w:left w:val="none" w:sz="0" w:space="0" w:color="auto"/>
            <w:bottom w:val="none" w:sz="0" w:space="0" w:color="auto"/>
            <w:right w:val="none" w:sz="0" w:space="0" w:color="auto"/>
          </w:divBdr>
        </w:div>
        <w:div w:id="2142264108">
          <w:marLeft w:val="547"/>
          <w:marRight w:val="0"/>
          <w:marTop w:val="0"/>
          <w:marBottom w:val="120"/>
          <w:divBdr>
            <w:top w:val="none" w:sz="0" w:space="0" w:color="auto"/>
            <w:left w:val="none" w:sz="0" w:space="0" w:color="auto"/>
            <w:bottom w:val="none" w:sz="0" w:space="0" w:color="auto"/>
            <w:right w:val="none" w:sz="0" w:space="0" w:color="auto"/>
          </w:divBdr>
        </w:div>
      </w:divsChild>
    </w:div>
    <w:div w:id="1416702565">
      <w:bodyDiv w:val="1"/>
      <w:marLeft w:val="0"/>
      <w:marRight w:val="0"/>
      <w:marTop w:val="0"/>
      <w:marBottom w:val="0"/>
      <w:divBdr>
        <w:top w:val="none" w:sz="0" w:space="0" w:color="auto"/>
        <w:left w:val="none" w:sz="0" w:space="0" w:color="auto"/>
        <w:bottom w:val="none" w:sz="0" w:space="0" w:color="auto"/>
        <w:right w:val="none" w:sz="0" w:space="0" w:color="auto"/>
      </w:divBdr>
    </w:div>
    <w:div w:id="1433277013">
      <w:bodyDiv w:val="1"/>
      <w:marLeft w:val="0"/>
      <w:marRight w:val="0"/>
      <w:marTop w:val="0"/>
      <w:marBottom w:val="0"/>
      <w:divBdr>
        <w:top w:val="none" w:sz="0" w:space="0" w:color="auto"/>
        <w:left w:val="none" w:sz="0" w:space="0" w:color="auto"/>
        <w:bottom w:val="none" w:sz="0" w:space="0" w:color="auto"/>
        <w:right w:val="none" w:sz="0" w:space="0" w:color="auto"/>
      </w:divBdr>
    </w:div>
    <w:div w:id="1434323673">
      <w:bodyDiv w:val="1"/>
      <w:marLeft w:val="0"/>
      <w:marRight w:val="0"/>
      <w:marTop w:val="0"/>
      <w:marBottom w:val="0"/>
      <w:divBdr>
        <w:top w:val="none" w:sz="0" w:space="0" w:color="auto"/>
        <w:left w:val="none" w:sz="0" w:space="0" w:color="auto"/>
        <w:bottom w:val="none" w:sz="0" w:space="0" w:color="auto"/>
        <w:right w:val="none" w:sz="0" w:space="0" w:color="auto"/>
      </w:divBdr>
      <w:divsChild>
        <w:div w:id="1129863645">
          <w:marLeft w:val="274"/>
          <w:marRight w:val="0"/>
          <w:marTop w:val="0"/>
          <w:marBottom w:val="0"/>
          <w:divBdr>
            <w:top w:val="none" w:sz="0" w:space="0" w:color="auto"/>
            <w:left w:val="none" w:sz="0" w:space="0" w:color="auto"/>
            <w:bottom w:val="none" w:sz="0" w:space="0" w:color="auto"/>
            <w:right w:val="none" w:sz="0" w:space="0" w:color="auto"/>
          </w:divBdr>
        </w:div>
        <w:div w:id="633222312">
          <w:marLeft w:val="274"/>
          <w:marRight w:val="0"/>
          <w:marTop w:val="0"/>
          <w:marBottom w:val="0"/>
          <w:divBdr>
            <w:top w:val="none" w:sz="0" w:space="0" w:color="auto"/>
            <w:left w:val="none" w:sz="0" w:space="0" w:color="auto"/>
            <w:bottom w:val="none" w:sz="0" w:space="0" w:color="auto"/>
            <w:right w:val="none" w:sz="0" w:space="0" w:color="auto"/>
          </w:divBdr>
        </w:div>
        <w:div w:id="1789009094">
          <w:marLeft w:val="274"/>
          <w:marRight w:val="0"/>
          <w:marTop w:val="0"/>
          <w:marBottom w:val="0"/>
          <w:divBdr>
            <w:top w:val="none" w:sz="0" w:space="0" w:color="auto"/>
            <w:left w:val="none" w:sz="0" w:space="0" w:color="auto"/>
            <w:bottom w:val="none" w:sz="0" w:space="0" w:color="auto"/>
            <w:right w:val="none" w:sz="0" w:space="0" w:color="auto"/>
          </w:divBdr>
        </w:div>
      </w:divsChild>
    </w:div>
    <w:div w:id="1462648421">
      <w:bodyDiv w:val="1"/>
      <w:marLeft w:val="0"/>
      <w:marRight w:val="0"/>
      <w:marTop w:val="0"/>
      <w:marBottom w:val="0"/>
      <w:divBdr>
        <w:top w:val="none" w:sz="0" w:space="0" w:color="auto"/>
        <w:left w:val="none" w:sz="0" w:space="0" w:color="auto"/>
        <w:bottom w:val="none" w:sz="0" w:space="0" w:color="auto"/>
        <w:right w:val="none" w:sz="0" w:space="0" w:color="auto"/>
      </w:divBdr>
    </w:div>
    <w:div w:id="1470787185">
      <w:bodyDiv w:val="1"/>
      <w:marLeft w:val="0"/>
      <w:marRight w:val="0"/>
      <w:marTop w:val="0"/>
      <w:marBottom w:val="0"/>
      <w:divBdr>
        <w:top w:val="none" w:sz="0" w:space="0" w:color="auto"/>
        <w:left w:val="none" w:sz="0" w:space="0" w:color="auto"/>
        <w:bottom w:val="none" w:sz="0" w:space="0" w:color="auto"/>
        <w:right w:val="none" w:sz="0" w:space="0" w:color="auto"/>
      </w:divBdr>
    </w:div>
    <w:div w:id="1484086291">
      <w:bodyDiv w:val="1"/>
      <w:marLeft w:val="0"/>
      <w:marRight w:val="0"/>
      <w:marTop w:val="0"/>
      <w:marBottom w:val="0"/>
      <w:divBdr>
        <w:top w:val="none" w:sz="0" w:space="0" w:color="auto"/>
        <w:left w:val="none" w:sz="0" w:space="0" w:color="auto"/>
        <w:bottom w:val="none" w:sz="0" w:space="0" w:color="auto"/>
        <w:right w:val="none" w:sz="0" w:space="0" w:color="auto"/>
      </w:divBdr>
    </w:div>
    <w:div w:id="1545168238">
      <w:bodyDiv w:val="1"/>
      <w:marLeft w:val="0"/>
      <w:marRight w:val="0"/>
      <w:marTop w:val="0"/>
      <w:marBottom w:val="0"/>
      <w:divBdr>
        <w:top w:val="none" w:sz="0" w:space="0" w:color="auto"/>
        <w:left w:val="none" w:sz="0" w:space="0" w:color="auto"/>
        <w:bottom w:val="none" w:sz="0" w:space="0" w:color="auto"/>
        <w:right w:val="none" w:sz="0" w:space="0" w:color="auto"/>
      </w:divBdr>
    </w:div>
    <w:div w:id="1563059660">
      <w:bodyDiv w:val="1"/>
      <w:marLeft w:val="0"/>
      <w:marRight w:val="0"/>
      <w:marTop w:val="0"/>
      <w:marBottom w:val="0"/>
      <w:divBdr>
        <w:top w:val="none" w:sz="0" w:space="0" w:color="auto"/>
        <w:left w:val="none" w:sz="0" w:space="0" w:color="auto"/>
        <w:bottom w:val="none" w:sz="0" w:space="0" w:color="auto"/>
        <w:right w:val="none" w:sz="0" w:space="0" w:color="auto"/>
      </w:divBdr>
    </w:div>
    <w:div w:id="1592620718">
      <w:bodyDiv w:val="1"/>
      <w:marLeft w:val="0"/>
      <w:marRight w:val="0"/>
      <w:marTop w:val="0"/>
      <w:marBottom w:val="0"/>
      <w:divBdr>
        <w:top w:val="none" w:sz="0" w:space="0" w:color="auto"/>
        <w:left w:val="none" w:sz="0" w:space="0" w:color="auto"/>
        <w:bottom w:val="none" w:sz="0" w:space="0" w:color="auto"/>
        <w:right w:val="none" w:sz="0" w:space="0" w:color="auto"/>
      </w:divBdr>
    </w:div>
    <w:div w:id="1640653015">
      <w:bodyDiv w:val="1"/>
      <w:marLeft w:val="0"/>
      <w:marRight w:val="0"/>
      <w:marTop w:val="0"/>
      <w:marBottom w:val="0"/>
      <w:divBdr>
        <w:top w:val="none" w:sz="0" w:space="0" w:color="auto"/>
        <w:left w:val="none" w:sz="0" w:space="0" w:color="auto"/>
        <w:bottom w:val="none" w:sz="0" w:space="0" w:color="auto"/>
        <w:right w:val="none" w:sz="0" w:space="0" w:color="auto"/>
      </w:divBdr>
    </w:div>
    <w:div w:id="1651517942">
      <w:bodyDiv w:val="1"/>
      <w:marLeft w:val="0"/>
      <w:marRight w:val="0"/>
      <w:marTop w:val="0"/>
      <w:marBottom w:val="0"/>
      <w:divBdr>
        <w:top w:val="none" w:sz="0" w:space="0" w:color="auto"/>
        <w:left w:val="none" w:sz="0" w:space="0" w:color="auto"/>
        <w:bottom w:val="none" w:sz="0" w:space="0" w:color="auto"/>
        <w:right w:val="none" w:sz="0" w:space="0" w:color="auto"/>
      </w:divBdr>
    </w:div>
    <w:div w:id="1662267998">
      <w:bodyDiv w:val="1"/>
      <w:marLeft w:val="0"/>
      <w:marRight w:val="0"/>
      <w:marTop w:val="0"/>
      <w:marBottom w:val="0"/>
      <w:divBdr>
        <w:top w:val="none" w:sz="0" w:space="0" w:color="auto"/>
        <w:left w:val="none" w:sz="0" w:space="0" w:color="auto"/>
        <w:bottom w:val="none" w:sz="0" w:space="0" w:color="auto"/>
        <w:right w:val="none" w:sz="0" w:space="0" w:color="auto"/>
      </w:divBdr>
    </w:div>
    <w:div w:id="1681665520">
      <w:bodyDiv w:val="1"/>
      <w:marLeft w:val="0"/>
      <w:marRight w:val="0"/>
      <w:marTop w:val="0"/>
      <w:marBottom w:val="0"/>
      <w:divBdr>
        <w:top w:val="none" w:sz="0" w:space="0" w:color="auto"/>
        <w:left w:val="none" w:sz="0" w:space="0" w:color="auto"/>
        <w:bottom w:val="none" w:sz="0" w:space="0" w:color="auto"/>
        <w:right w:val="none" w:sz="0" w:space="0" w:color="auto"/>
      </w:divBdr>
      <w:divsChild>
        <w:div w:id="1834829735">
          <w:marLeft w:val="274"/>
          <w:marRight w:val="0"/>
          <w:marTop w:val="0"/>
          <w:marBottom w:val="160"/>
          <w:divBdr>
            <w:top w:val="none" w:sz="0" w:space="0" w:color="auto"/>
            <w:left w:val="none" w:sz="0" w:space="0" w:color="auto"/>
            <w:bottom w:val="none" w:sz="0" w:space="0" w:color="auto"/>
            <w:right w:val="none" w:sz="0" w:space="0" w:color="auto"/>
          </w:divBdr>
        </w:div>
        <w:div w:id="2069069699">
          <w:marLeft w:val="274"/>
          <w:marRight w:val="0"/>
          <w:marTop w:val="0"/>
          <w:marBottom w:val="160"/>
          <w:divBdr>
            <w:top w:val="none" w:sz="0" w:space="0" w:color="auto"/>
            <w:left w:val="none" w:sz="0" w:space="0" w:color="auto"/>
            <w:bottom w:val="none" w:sz="0" w:space="0" w:color="auto"/>
            <w:right w:val="none" w:sz="0" w:space="0" w:color="auto"/>
          </w:divBdr>
        </w:div>
      </w:divsChild>
    </w:div>
    <w:div w:id="1751267006">
      <w:bodyDiv w:val="1"/>
      <w:marLeft w:val="0"/>
      <w:marRight w:val="0"/>
      <w:marTop w:val="0"/>
      <w:marBottom w:val="0"/>
      <w:divBdr>
        <w:top w:val="none" w:sz="0" w:space="0" w:color="auto"/>
        <w:left w:val="none" w:sz="0" w:space="0" w:color="auto"/>
        <w:bottom w:val="none" w:sz="0" w:space="0" w:color="auto"/>
        <w:right w:val="none" w:sz="0" w:space="0" w:color="auto"/>
      </w:divBdr>
    </w:div>
    <w:div w:id="1756629443">
      <w:bodyDiv w:val="1"/>
      <w:marLeft w:val="0"/>
      <w:marRight w:val="0"/>
      <w:marTop w:val="0"/>
      <w:marBottom w:val="0"/>
      <w:divBdr>
        <w:top w:val="none" w:sz="0" w:space="0" w:color="auto"/>
        <w:left w:val="none" w:sz="0" w:space="0" w:color="auto"/>
        <w:bottom w:val="none" w:sz="0" w:space="0" w:color="auto"/>
        <w:right w:val="none" w:sz="0" w:space="0" w:color="auto"/>
      </w:divBdr>
    </w:div>
    <w:div w:id="1831291298">
      <w:bodyDiv w:val="1"/>
      <w:marLeft w:val="0"/>
      <w:marRight w:val="0"/>
      <w:marTop w:val="0"/>
      <w:marBottom w:val="0"/>
      <w:divBdr>
        <w:top w:val="none" w:sz="0" w:space="0" w:color="auto"/>
        <w:left w:val="none" w:sz="0" w:space="0" w:color="auto"/>
        <w:bottom w:val="none" w:sz="0" w:space="0" w:color="auto"/>
        <w:right w:val="none" w:sz="0" w:space="0" w:color="auto"/>
      </w:divBdr>
    </w:div>
    <w:div w:id="1860729559">
      <w:bodyDiv w:val="1"/>
      <w:marLeft w:val="0"/>
      <w:marRight w:val="0"/>
      <w:marTop w:val="0"/>
      <w:marBottom w:val="0"/>
      <w:divBdr>
        <w:top w:val="none" w:sz="0" w:space="0" w:color="auto"/>
        <w:left w:val="none" w:sz="0" w:space="0" w:color="auto"/>
        <w:bottom w:val="none" w:sz="0" w:space="0" w:color="auto"/>
        <w:right w:val="none" w:sz="0" w:space="0" w:color="auto"/>
      </w:divBdr>
    </w:div>
    <w:div w:id="1860966653">
      <w:bodyDiv w:val="1"/>
      <w:marLeft w:val="0"/>
      <w:marRight w:val="0"/>
      <w:marTop w:val="0"/>
      <w:marBottom w:val="0"/>
      <w:divBdr>
        <w:top w:val="none" w:sz="0" w:space="0" w:color="auto"/>
        <w:left w:val="none" w:sz="0" w:space="0" w:color="auto"/>
        <w:bottom w:val="none" w:sz="0" w:space="0" w:color="auto"/>
        <w:right w:val="none" w:sz="0" w:space="0" w:color="auto"/>
      </w:divBdr>
    </w:div>
    <w:div w:id="1916278590">
      <w:bodyDiv w:val="1"/>
      <w:marLeft w:val="0"/>
      <w:marRight w:val="0"/>
      <w:marTop w:val="0"/>
      <w:marBottom w:val="0"/>
      <w:divBdr>
        <w:top w:val="none" w:sz="0" w:space="0" w:color="auto"/>
        <w:left w:val="none" w:sz="0" w:space="0" w:color="auto"/>
        <w:bottom w:val="none" w:sz="0" w:space="0" w:color="auto"/>
        <w:right w:val="none" w:sz="0" w:space="0" w:color="auto"/>
      </w:divBdr>
    </w:div>
    <w:div w:id="1939874775">
      <w:bodyDiv w:val="1"/>
      <w:marLeft w:val="0"/>
      <w:marRight w:val="0"/>
      <w:marTop w:val="0"/>
      <w:marBottom w:val="0"/>
      <w:divBdr>
        <w:top w:val="none" w:sz="0" w:space="0" w:color="auto"/>
        <w:left w:val="none" w:sz="0" w:space="0" w:color="auto"/>
        <w:bottom w:val="none" w:sz="0" w:space="0" w:color="auto"/>
        <w:right w:val="none" w:sz="0" w:space="0" w:color="auto"/>
      </w:divBdr>
    </w:div>
    <w:div w:id="1945920865">
      <w:bodyDiv w:val="1"/>
      <w:marLeft w:val="0"/>
      <w:marRight w:val="0"/>
      <w:marTop w:val="0"/>
      <w:marBottom w:val="0"/>
      <w:divBdr>
        <w:top w:val="none" w:sz="0" w:space="0" w:color="auto"/>
        <w:left w:val="none" w:sz="0" w:space="0" w:color="auto"/>
        <w:bottom w:val="none" w:sz="0" w:space="0" w:color="auto"/>
        <w:right w:val="none" w:sz="0" w:space="0" w:color="auto"/>
      </w:divBdr>
      <w:divsChild>
        <w:div w:id="1910337162">
          <w:marLeft w:val="274"/>
          <w:marRight w:val="0"/>
          <w:marTop w:val="120"/>
          <w:marBottom w:val="0"/>
          <w:divBdr>
            <w:top w:val="none" w:sz="0" w:space="0" w:color="auto"/>
            <w:left w:val="none" w:sz="0" w:space="0" w:color="auto"/>
            <w:bottom w:val="none" w:sz="0" w:space="0" w:color="auto"/>
            <w:right w:val="none" w:sz="0" w:space="0" w:color="auto"/>
          </w:divBdr>
        </w:div>
        <w:div w:id="377702565">
          <w:marLeft w:val="274"/>
          <w:marRight w:val="0"/>
          <w:marTop w:val="120"/>
          <w:marBottom w:val="0"/>
          <w:divBdr>
            <w:top w:val="none" w:sz="0" w:space="0" w:color="auto"/>
            <w:left w:val="none" w:sz="0" w:space="0" w:color="auto"/>
            <w:bottom w:val="none" w:sz="0" w:space="0" w:color="auto"/>
            <w:right w:val="none" w:sz="0" w:space="0" w:color="auto"/>
          </w:divBdr>
        </w:div>
        <w:div w:id="2131705824">
          <w:marLeft w:val="274"/>
          <w:marRight w:val="0"/>
          <w:marTop w:val="120"/>
          <w:marBottom w:val="0"/>
          <w:divBdr>
            <w:top w:val="none" w:sz="0" w:space="0" w:color="auto"/>
            <w:left w:val="none" w:sz="0" w:space="0" w:color="auto"/>
            <w:bottom w:val="none" w:sz="0" w:space="0" w:color="auto"/>
            <w:right w:val="none" w:sz="0" w:space="0" w:color="auto"/>
          </w:divBdr>
        </w:div>
        <w:div w:id="495851121">
          <w:marLeft w:val="274"/>
          <w:marRight w:val="0"/>
          <w:marTop w:val="120"/>
          <w:marBottom w:val="0"/>
          <w:divBdr>
            <w:top w:val="none" w:sz="0" w:space="0" w:color="auto"/>
            <w:left w:val="none" w:sz="0" w:space="0" w:color="auto"/>
            <w:bottom w:val="none" w:sz="0" w:space="0" w:color="auto"/>
            <w:right w:val="none" w:sz="0" w:space="0" w:color="auto"/>
          </w:divBdr>
        </w:div>
        <w:div w:id="1706981359">
          <w:marLeft w:val="274"/>
          <w:marRight w:val="0"/>
          <w:marTop w:val="120"/>
          <w:marBottom w:val="0"/>
          <w:divBdr>
            <w:top w:val="none" w:sz="0" w:space="0" w:color="auto"/>
            <w:left w:val="none" w:sz="0" w:space="0" w:color="auto"/>
            <w:bottom w:val="none" w:sz="0" w:space="0" w:color="auto"/>
            <w:right w:val="none" w:sz="0" w:space="0" w:color="auto"/>
          </w:divBdr>
        </w:div>
        <w:div w:id="1906061189">
          <w:marLeft w:val="274"/>
          <w:marRight w:val="0"/>
          <w:marTop w:val="120"/>
          <w:marBottom w:val="0"/>
          <w:divBdr>
            <w:top w:val="none" w:sz="0" w:space="0" w:color="auto"/>
            <w:left w:val="none" w:sz="0" w:space="0" w:color="auto"/>
            <w:bottom w:val="none" w:sz="0" w:space="0" w:color="auto"/>
            <w:right w:val="none" w:sz="0" w:space="0" w:color="auto"/>
          </w:divBdr>
        </w:div>
        <w:div w:id="858546799">
          <w:marLeft w:val="274"/>
          <w:marRight w:val="0"/>
          <w:marTop w:val="120"/>
          <w:marBottom w:val="0"/>
          <w:divBdr>
            <w:top w:val="none" w:sz="0" w:space="0" w:color="auto"/>
            <w:left w:val="none" w:sz="0" w:space="0" w:color="auto"/>
            <w:bottom w:val="none" w:sz="0" w:space="0" w:color="auto"/>
            <w:right w:val="none" w:sz="0" w:space="0" w:color="auto"/>
          </w:divBdr>
        </w:div>
        <w:div w:id="969358490">
          <w:marLeft w:val="274"/>
          <w:marRight w:val="0"/>
          <w:marTop w:val="120"/>
          <w:marBottom w:val="0"/>
          <w:divBdr>
            <w:top w:val="none" w:sz="0" w:space="0" w:color="auto"/>
            <w:left w:val="none" w:sz="0" w:space="0" w:color="auto"/>
            <w:bottom w:val="none" w:sz="0" w:space="0" w:color="auto"/>
            <w:right w:val="none" w:sz="0" w:space="0" w:color="auto"/>
          </w:divBdr>
        </w:div>
      </w:divsChild>
    </w:div>
    <w:div w:id="1966961333">
      <w:bodyDiv w:val="1"/>
      <w:marLeft w:val="0"/>
      <w:marRight w:val="0"/>
      <w:marTop w:val="0"/>
      <w:marBottom w:val="0"/>
      <w:divBdr>
        <w:top w:val="none" w:sz="0" w:space="0" w:color="auto"/>
        <w:left w:val="none" w:sz="0" w:space="0" w:color="auto"/>
        <w:bottom w:val="none" w:sz="0" w:space="0" w:color="auto"/>
        <w:right w:val="none" w:sz="0" w:space="0" w:color="auto"/>
      </w:divBdr>
    </w:div>
    <w:div w:id="1971744373">
      <w:bodyDiv w:val="1"/>
      <w:marLeft w:val="0"/>
      <w:marRight w:val="0"/>
      <w:marTop w:val="0"/>
      <w:marBottom w:val="0"/>
      <w:divBdr>
        <w:top w:val="none" w:sz="0" w:space="0" w:color="auto"/>
        <w:left w:val="none" w:sz="0" w:space="0" w:color="auto"/>
        <w:bottom w:val="none" w:sz="0" w:space="0" w:color="auto"/>
        <w:right w:val="none" w:sz="0" w:space="0" w:color="auto"/>
      </w:divBdr>
    </w:div>
    <w:div w:id="1976250141">
      <w:bodyDiv w:val="1"/>
      <w:marLeft w:val="0"/>
      <w:marRight w:val="0"/>
      <w:marTop w:val="0"/>
      <w:marBottom w:val="0"/>
      <w:divBdr>
        <w:top w:val="none" w:sz="0" w:space="0" w:color="auto"/>
        <w:left w:val="none" w:sz="0" w:space="0" w:color="auto"/>
        <w:bottom w:val="none" w:sz="0" w:space="0" w:color="auto"/>
        <w:right w:val="none" w:sz="0" w:space="0" w:color="auto"/>
      </w:divBdr>
    </w:div>
    <w:div w:id="1997413595">
      <w:bodyDiv w:val="1"/>
      <w:marLeft w:val="0"/>
      <w:marRight w:val="0"/>
      <w:marTop w:val="0"/>
      <w:marBottom w:val="0"/>
      <w:divBdr>
        <w:top w:val="none" w:sz="0" w:space="0" w:color="auto"/>
        <w:left w:val="none" w:sz="0" w:space="0" w:color="auto"/>
        <w:bottom w:val="none" w:sz="0" w:space="0" w:color="auto"/>
        <w:right w:val="none" w:sz="0" w:space="0" w:color="auto"/>
      </w:divBdr>
    </w:div>
    <w:div w:id="2047758042">
      <w:bodyDiv w:val="1"/>
      <w:marLeft w:val="0"/>
      <w:marRight w:val="0"/>
      <w:marTop w:val="0"/>
      <w:marBottom w:val="0"/>
      <w:divBdr>
        <w:top w:val="none" w:sz="0" w:space="0" w:color="auto"/>
        <w:left w:val="none" w:sz="0" w:space="0" w:color="auto"/>
        <w:bottom w:val="none" w:sz="0" w:space="0" w:color="auto"/>
        <w:right w:val="none" w:sz="0" w:space="0" w:color="auto"/>
      </w:divBdr>
    </w:div>
    <w:div w:id="2067097860">
      <w:bodyDiv w:val="1"/>
      <w:marLeft w:val="0"/>
      <w:marRight w:val="0"/>
      <w:marTop w:val="0"/>
      <w:marBottom w:val="0"/>
      <w:divBdr>
        <w:top w:val="none" w:sz="0" w:space="0" w:color="auto"/>
        <w:left w:val="none" w:sz="0" w:space="0" w:color="auto"/>
        <w:bottom w:val="none" w:sz="0" w:space="0" w:color="auto"/>
        <w:right w:val="none" w:sz="0" w:space="0" w:color="auto"/>
      </w:divBdr>
      <w:divsChild>
        <w:div w:id="2013531393">
          <w:marLeft w:val="547"/>
          <w:marRight w:val="0"/>
          <w:marTop w:val="0"/>
          <w:marBottom w:val="120"/>
          <w:divBdr>
            <w:top w:val="none" w:sz="0" w:space="0" w:color="auto"/>
            <w:left w:val="none" w:sz="0" w:space="0" w:color="auto"/>
            <w:bottom w:val="none" w:sz="0" w:space="0" w:color="auto"/>
            <w:right w:val="none" w:sz="0" w:space="0" w:color="auto"/>
          </w:divBdr>
        </w:div>
        <w:div w:id="907347446">
          <w:marLeft w:val="547"/>
          <w:marRight w:val="0"/>
          <w:marTop w:val="0"/>
          <w:marBottom w:val="120"/>
          <w:divBdr>
            <w:top w:val="none" w:sz="0" w:space="0" w:color="auto"/>
            <w:left w:val="none" w:sz="0" w:space="0" w:color="auto"/>
            <w:bottom w:val="none" w:sz="0" w:space="0" w:color="auto"/>
            <w:right w:val="none" w:sz="0" w:space="0" w:color="auto"/>
          </w:divBdr>
        </w:div>
        <w:div w:id="53896689">
          <w:marLeft w:val="547"/>
          <w:marRight w:val="0"/>
          <w:marTop w:val="0"/>
          <w:marBottom w:val="120"/>
          <w:divBdr>
            <w:top w:val="none" w:sz="0" w:space="0" w:color="auto"/>
            <w:left w:val="none" w:sz="0" w:space="0" w:color="auto"/>
            <w:bottom w:val="none" w:sz="0" w:space="0" w:color="auto"/>
            <w:right w:val="none" w:sz="0" w:space="0" w:color="auto"/>
          </w:divBdr>
        </w:div>
      </w:divsChild>
    </w:div>
    <w:div w:id="2086606311">
      <w:bodyDiv w:val="1"/>
      <w:marLeft w:val="0"/>
      <w:marRight w:val="0"/>
      <w:marTop w:val="0"/>
      <w:marBottom w:val="0"/>
      <w:divBdr>
        <w:top w:val="none" w:sz="0" w:space="0" w:color="auto"/>
        <w:left w:val="none" w:sz="0" w:space="0" w:color="auto"/>
        <w:bottom w:val="none" w:sz="0" w:space="0" w:color="auto"/>
        <w:right w:val="none" w:sz="0" w:space="0" w:color="auto"/>
      </w:divBdr>
      <w:divsChild>
        <w:div w:id="709039716">
          <w:marLeft w:val="0"/>
          <w:marRight w:val="0"/>
          <w:marTop w:val="0"/>
          <w:marBottom w:val="0"/>
          <w:divBdr>
            <w:top w:val="none" w:sz="0" w:space="0" w:color="auto"/>
            <w:left w:val="none" w:sz="0" w:space="0" w:color="auto"/>
            <w:bottom w:val="none" w:sz="0" w:space="0" w:color="auto"/>
            <w:right w:val="none" w:sz="0" w:space="0" w:color="auto"/>
          </w:divBdr>
        </w:div>
      </w:divsChild>
    </w:div>
    <w:div w:id="209585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chart" Target="charts/chart8.xml"/><Relationship Id="rId47" Type="http://schemas.openxmlformats.org/officeDocument/2006/relationships/image" Target="media/image19.emf"/><Relationship Id="rId63" Type="http://schemas.openxmlformats.org/officeDocument/2006/relationships/hyperlink" Target="https://www.unwto.org/tourism-data/un-tourism-tourism-dashboard"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ourism.research@tra.gov.au" TargetMode="Externa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hyperlink" Target="https://www.tra.gov.au/en/international/international-tourism-results" TargetMode="External"/><Relationship Id="rId58" Type="http://schemas.openxmlformats.org/officeDocument/2006/relationships/hyperlink" Target="https://www.tra.gov.au/en/economic-analysis/tourism-forecasts"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jobsandskills.gov.au/data/skills-shortages-analysis" TargetMode="External"/><Relationship Id="rId19" Type="http://schemas.openxmlformats.org/officeDocument/2006/relationships/image" Target="media/image3.emf"/><Relationship Id="rId14" Type="http://schemas.openxmlformats.org/officeDocument/2006/relationships/hyperlink" Target="http://www.tra.gov.au"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yperlink" Target="https://www.abs.gov.au/statistics/industry/tourism-and-transport/overseas-arrivals-and-departures-australia/dec-2024" TargetMode="External"/><Relationship Id="rId56" Type="http://schemas.openxmlformats.org/officeDocument/2006/relationships/hyperlink" Target="https://www.tra.gov.au/en/economic-analysis/tourism-satellite-accounts/state-tourism-satellite-account"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bitre.gov.au/publications/ongoing/domestic_airline_activity-time_serie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advisory@austrade.gov.au"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hyperlink" Target="https://www.tra.gov.au/en/economic-analysis/tourism-investment-monitor" TargetMode="External"/><Relationship Id="rId67" Type="http://schemas.openxmlformats.org/officeDocument/2006/relationships/footer" Target="footer2.xml"/><Relationship Id="rId20" Type="http://schemas.openxmlformats.org/officeDocument/2006/relationships/hyperlink" Target="https://www.tra.gov.au/en/economic-analysis/longitudinal-indicators-for-the-visitor-economy" TargetMode="External"/><Relationship Id="rId41" Type="http://schemas.openxmlformats.org/officeDocument/2006/relationships/chart" Target="charts/chart7.xml"/><Relationship Id="rId54" Type="http://schemas.openxmlformats.org/officeDocument/2006/relationships/hyperlink" Target="https://www.tra.gov.au/en/domestic/domestic-tourism-results" TargetMode="External"/><Relationship Id="rId62" Type="http://schemas.openxmlformats.org/officeDocument/2006/relationships/hyperlink" Target="https://www.iata.org/en/pressroom/2025-releases/2025-01-30-01/"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ra.gov.au/en/economic-analysis/annual-benchmark-report"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hart" Target="charts/chart2.xml"/><Relationship Id="rId49" Type="http://schemas.openxmlformats.org/officeDocument/2006/relationships/hyperlink" Target="https://www.abs.gov.au/statistics/economy/finance/monthly-household-spending-indicator/dec-2024" TargetMode="External"/><Relationship Id="rId57" Type="http://schemas.openxmlformats.org/officeDocument/2006/relationships/hyperlink" Target="https://www.tra.gov.au/en/economic-analysis/tourism-businesses" TargetMode="Externa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chart" Target="charts/chart10.xml"/><Relationship Id="rId52" Type="http://schemas.openxmlformats.org/officeDocument/2006/relationships/hyperlink" Target="https://www.tra.gov.au/en/economic-analysis/business-events-data" TargetMode="External"/><Relationship Id="rId60" Type="http://schemas.openxmlformats.org/officeDocument/2006/relationships/hyperlink" Target="https://www.jobsandskills.gov.au/work/internet-vacancy-index"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ourism.research@tra.gov.au" TargetMode="External"/><Relationship Id="rId18" Type="http://schemas.openxmlformats.org/officeDocument/2006/relationships/hyperlink" Target="file:///C:/Users/corrine-rose/AppData/Local/Microsoft/Windows/INetCache/Content.Outlook/2Z3XW8LL/pmc.gov.au/%20government/commonwealth-coat-arms" TargetMode="External"/><Relationship Id="rId39" Type="http://schemas.openxmlformats.org/officeDocument/2006/relationships/chart" Target="charts/chart5.xml"/><Relationship Id="rId34" Type="http://schemas.openxmlformats.org/officeDocument/2006/relationships/image" Target="media/image17.svg"/><Relationship Id="rId50" Type="http://schemas.openxmlformats.org/officeDocument/2006/relationships/hyperlink" Target="https://www.bitre.gov.au/publications/ongoing/international_airline_activity-time_series" TargetMode="External"/><Relationship Id="rId55" Type="http://schemas.openxmlformats.org/officeDocument/2006/relationships/hyperlink" Target="https://www.tra.gov.au/en/economic-analysis/quarterly-tourism-labour-force-statistic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lympics.com/ioc/news/all-you-need-to-know-about-impact-and-legacy-at-paris-2024-for-the-people-for-the-community-and-for-the-environment" TargetMode="External"/><Relationship Id="rId2" Type="http://schemas.openxmlformats.org/officeDocument/2006/relationships/hyperlink" Target="https://www.unwto.org/tourism-data/un-tourism-tracker" TargetMode="External"/><Relationship Id="rId1" Type="http://schemas.openxmlformats.org/officeDocument/2006/relationships/hyperlink" Target="https://www.abs.gov.au/statistics/economy/finance/monthly-household-spending-indicat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trade.sharepoint.com/sites/trastrategicresearchanalysis/Shared%20Documents/Tourism/State%20of%20the%20Industry%20report/SOTI%202024/3.%20Data%20and%20analysis/2023%20Charts%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0643568799292E-2"/>
          <c:y val="3.298620293622069E-2"/>
          <c:w val="0.84154851449605661"/>
          <c:h val="0.87983010570696729"/>
        </c:manualLayout>
      </c:layout>
      <c:barChart>
        <c:barDir val="col"/>
        <c:grouping val="stacked"/>
        <c:varyColors val="0"/>
        <c:ser>
          <c:idx val="0"/>
          <c:order val="0"/>
          <c:tx>
            <c:strRef>
              <c:f>Sheet1!$B$1</c:f>
              <c:strCache>
                <c:ptCount val="1"/>
                <c:pt idx="0">
                  <c:v>ACT*</c:v>
                </c:pt>
              </c:strCache>
            </c:strRef>
          </c:tx>
          <c:spPr>
            <a:solidFill>
              <a:schemeClr val="accent6">
                <a:lumMod val="50000"/>
                <a:lumOff val="50000"/>
              </a:schemeClr>
            </a:solidFill>
            <a:ln>
              <a:noFill/>
            </a:ln>
            <a:effectLst/>
          </c:spPr>
          <c:invertIfNegative val="0"/>
          <c:dLbls>
            <c:delete val="1"/>
          </c:dLbls>
          <c:cat>
            <c:numRef>
              <c:f>Sheet1!$A$2:$A$4</c:f>
              <c:numCache>
                <c:formatCode>General</c:formatCode>
                <c:ptCount val="3"/>
                <c:pt idx="0">
                  <c:v>2022</c:v>
                </c:pt>
                <c:pt idx="1">
                  <c:v>2023</c:v>
                </c:pt>
                <c:pt idx="2">
                  <c:v>2024</c:v>
                </c:pt>
              </c:numCache>
            </c:numRef>
          </c:cat>
          <c:val>
            <c:numRef>
              <c:f>Sheet1!$B$2:$B$4</c:f>
              <c:numCache>
                <c:formatCode>#,##0</c:formatCode>
                <c:ptCount val="3"/>
                <c:pt idx="0">
                  <c:v>7830</c:v>
                </c:pt>
                <c:pt idx="1">
                  <c:v>7929</c:v>
                </c:pt>
                <c:pt idx="2">
                  <c:v>8052</c:v>
                </c:pt>
              </c:numCache>
            </c:numRef>
          </c:val>
          <c:extLst>
            <c:ext xmlns:c16="http://schemas.microsoft.com/office/drawing/2014/chart" uri="{C3380CC4-5D6E-409C-BE32-E72D297353CC}">
              <c16:uniqueId val="{00000000-DD23-4392-88F7-15981D9E28EB}"/>
            </c:ext>
          </c:extLst>
        </c:ser>
        <c:ser>
          <c:idx val="1"/>
          <c:order val="1"/>
          <c:tx>
            <c:strRef>
              <c:f>Sheet1!$C$1</c:f>
              <c:strCache>
                <c:ptCount val="1"/>
                <c:pt idx="0">
                  <c:v>NT*</c:v>
                </c:pt>
              </c:strCache>
            </c:strRef>
          </c:tx>
          <c:spPr>
            <a:solidFill>
              <a:schemeClr val="accent5">
                <a:lumMod val="75000"/>
              </a:schemeClr>
            </a:solidFill>
            <a:ln>
              <a:noFill/>
            </a:ln>
            <a:effectLst/>
          </c:spPr>
          <c:invertIfNegative val="0"/>
          <c:dLbls>
            <c:delete val="1"/>
          </c:dLbls>
          <c:cat>
            <c:numRef>
              <c:f>Sheet1!$A$2:$A$4</c:f>
              <c:numCache>
                <c:formatCode>General</c:formatCode>
                <c:ptCount val="3"/>
                <c:pt idx="0">
                  <c:v>2022</c:v>
                </c:pt>
                <c:pt idx="1">
                  <c:v>2023</c:v>
                </c:pt>
                <c:pt idx="2">
                  <c:v>2024</c:v>
                </c:pt>
              </c:numCache>
            </c:numRef>
          </c:cat>
          <c:val>
            <c:numRef>
              <c:f>Sheet1!$C$2:$C$4</c:f>
              <c:numCache>
                <c:formatCode>#,##0</c:formatCode>
                <c:ptCount val="3"/>
                <c:pt idx="0">
                  <c:v>9130</c:v>
                </c:pt>
                <c:pt idx="1">
                  <c:v>9243</c:v>
                </c:pt>
                <c:pt idx="2">
                  <c:v>9190</c:v>
                </c:pt>
              </c:numCache>
            </c:numRef>
          </c:val>
          <c:extLst>
            <c:ext xmlns:c16="http://schemas.microsoft.com/office/drawing/2014/chart" uri="{C3380CC4-5D6E-409C-BE32-E72D297353CC}">
              <c16:uniqueId val="{00000001-DD23-4392-88F7-15981D9E28EB}"/>
            </c:ext>
          </c:extLst>
        </c:ser>
        <c:ser>
          <c:idx val="2"/>
          <c:order val="2"/>
          <c:tx>
            <c:strRef>
              <c:f>Sheet1!$D$1</c:f>
              <c:strCache>
                <c:ptCount val="1"/>
                <c:pt idx="0">
                  <c:v>TAS</c:v>
                </c:pt>
              </c:strCache>
            </c:strRef>
          </c:tx>
          <c:spPr>
            <a:solidFill>
              <a:schemeClr val="accent4">
                <a:lumMod val="20000"/>
                <a:lumOff val="8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Sheet1!$D$2:$D$4</c:f>
              <c:numCache>
                <c:formatCode>#,##0</c:formatCode>
                <c:ptCount val="3"/>
                <c:pt idx="0">
                  <c:v>9941</c:v>
                </c:pt>
                <c:pt idx="1">
                  <c:v>9841</c:v>
                </c:pt>
                <c:pt idx="2">
                  <c:v>10038</c:v>
                </c:pt>
              </c:numCache>
            </c:numRef>
          </c:val>
          <c:extLst>
            <c:ext xmlns:c16="http://schemas.microsoft.com/office/drawing/2014/chart" uri="{C3380CC4-5D6E-409C-BE32-E72D297353CC}">
              <c16:uniqueId val="{00000002-DD23-4392-88F7-15981D9E28EB}"/>
            </c:ext>
          </c:extLst>
        </c:ser>
        <c:ser>
          <c:idx val="3"/>
          <c:order val="3"/>
          <c:tx>
            <c:strRef>
              <c:f>Sheet1!$E$1</c:f>
              <c:strCache>
                <c:ptCount val="1"/>
                <c:pt idx="0">
                  <c:v>SA</c:v>
                </c:pt>
              </c:strCache>
            </c:strRef>
          </c:tx>
          <c:spPr>
            <a:solidFill>
              <a:schemeClr val="accent4">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Sheet1!$E$2:$E$4</c:f>
              <c:numCache>
                <c:formatCode>#,##0</c:formatCode>
                <c:ptCount val="3"/>
                <c:pt idx="0">
                  <c:v>17501</c:v>
                </c:pt>
                <c:pt idx="1">
                  <c:v>18050</c:v>
                </c:pt>
                <c:pt idx="2">
                  <c:v>18486</c:v>
                </c:pt>
              </c:numCache>
            </c:numRef>
          </c:val>
          <c:extLst>
            <c:ext xmlns:c16="http://schemas.microsoft.com/office/drawing/2014/chart" uri="{C3380CC4-5D6E-409C-BE32-E72D297353CC}">
              <c16:uniqueId val="{00000003-DD23-4392-88F7-15981D9E28EB}"/>
            </c:ext>
          </c:extLst>
        </c:ser>
        <c:ser>
          <c:idx val="4"/>
          <c:order val="4"/>
          <c:tx>
            <c:strRef>
              <c:f>Sheet1!$F$1</c:f>
              <c:strCache>
                <c:ptCount val="1"/>
                <c:pt idx="0">
                  <c:v>WA</c:v>
                </c:pt>
              </c:strCache>
            </c:strRef>
          </c:tx>
          <c:spPr>
            <a:solidFill>
              <a:schemeClr val="accent4">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Sheet1!$F$2:$F$4</c:f>
              <c:numCache>
                <c:formatCode>#,##0</c:formatCode>
                <c:ptCount val="3"/>
                <c:pt idx="0">
                  <c:v>30284</c:v>
                </c:pt>
                <c:pt idx="1">
                  <c:v>30071</c:v>
                </c:pt>
                <c:pt idx="2">
                  <c:v>29950</c:v>
                </c:pt>
              </c:numCache>
            </c:numRef>
          </c:val>
          <c:extLst>
            <c:ext xmlns:c16="http://schemas.microsoft.com/office/drawing/2014/chart" uri="{C3380CC4-5D6E-409C-BE32-E72D297353CC}">
              <c16:uniqueId val="{00000004-DD23-4392-88F7-15981D9E28EB}"/>
            </c:ext>
          </c:extLst>
        </c:ser>
        <c:ser>
          <c:idx val="5"/>
          <c:order val="5"/>
          <c:tx>
            <c:strRef>
              <c:f>Sheet1!$G$1</c:f>
              <c:strCache>
                <c:ptCount val="1"/>
                <c:pt idx="0">
                  <c:v>VIC</c:v>
                </c:pt>
              </c:strCache>
            </c:strRef>
          </c:tx>
          <c:spPr>
            <a:solidFill>
              <a:schemeClr val="bg2">
                <a:lumMod val="40000"/>
                <a:lumOff val="6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Sheet1!$G$2:$G$4</c:f>
              <c:numCache>
                <c:formatCode>#,##0</c:formatCode>
                <c:ptCount val="3"/>
                <c:pt idx="0">
                  <c:v>61642</c:v>
                </c:pt>
                <c:pt idx="1">
                  <c:v>64434</c:v>
                </c:pt>
                <c:pt idx="2">
                  <c:v>65510</c:v>
                </c:pt>
              </c:numCache>
            </c:numRef>
          </c:val>
          <c:extLst>
            <c:ext xmlns:c16="http://schemas.microsoft.com/office/drawing/2014/chart" uri="{C3380CC4-5D6E-409C-BE32-E72D297353CC}">
              <c16:uniqueId val="{00000005-DD23-4392-88F7-15981D9E28EB}"/>
            </c:ext>
          </c:extLst>
        </c:ser>
        <c:ser>
          <c:idx val="6"/>
          <c:order val="6"/>
          <c:tx>
            <c:strRef>
              <c:f>Sheet1!$H$1</c:f>
              <c:strCache>
                <c:ptCount val="1"/>
                <c:pt idx="0">
                  <c:v> QLD </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Sheet1!$H$2:$H$4</c:f>
              <c:numCache>
                <c:formatCode>#,##0</c:formatCode>
                <c:ptCount val="3"/>
                <c:pt idx="0">
                  <c:v>92032</c:v>
                </c:pt>
                <c:pt idx="1">
                  <c:v>92170</c:v>
                </c:pt>
                <c:pt idx="2">
                  <c:v>92584</c:v>
                </c:pt>
              </c:numCache>
            </c:numRef>
          </c:val>
          <c:extLst>
            <c:ext xmlns:c16="http://schemas.microsoft.com/office/drawing/2014/chart" uri="{C3380CC4-5D6E-409C-BE32-E72D297353CC}">
              <c16:uniqueId val="{00000006-DD23-4392-88F7-15981D9E28EB}"/>
            </c:ext>
          </c:extLst>
        </c:ser>
        <c:ser>
          <c:idx val="7"/>
          <c:order val="7"/>
          <c:tx>
            <c:strRef>
              <c:f>Sheet1!$I$1</c:f>
              <c:strCache>
                <c:ptCount val="1"/>
                <c:pt idx="0">
                  <c:v> NSW </c:v>
                </c:pt>
              </c:strCache>
            </c:strRef>
          </c:tx>
          <c:spPr>
            <a:solidFill>
              <a:schemeClr val="tx2"/>
            </a:solidFill>
            <a:ln>
              <a:noFill/>
            </a:ln>
            <a:effectLst/>
          </c:spPr>
          <c:invertIfNegative val="0"/>
          <c:dLbls>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23-4392-88F7-15981D9E28E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Sheet1!$I$2:$I$4</c:f>
              <c:numCache>
                <c:formatCode>#,##0</c:formatCode>
                <c:ptCount val="3"/>
                <c:pt idx="0">
                  <c:v>97836</c:v>
                </c:pt>
                <c:pt idx="1">
                  <c:v>100947</c:v>
                </c:pt>
                <c:pt idx="2">
                  <c:v>101450</c:v>
                </c:pt>
              </c:numCache>
            </c:numRef>
          </c:val>
          <c:extLst>
            <c:ext xmlns:c16="http://schemas.microsoft.com/office/drawing/2014/chart" uri="{C3380CC4-5D6E-409C-BE32-E72D297353CC}">
              <c16:uniqueId val="{00000008-DD23-4392-88F7-15981D9E28EB}"/>
            </c:ext>
          </c:extLst>
        </c:ser>
        <c:ser>
          <c:idx val="8"/>
          <c:order val="8"/>
          <c:tx>
            <c:strRef>
              <c:f>Sheet1!$J$1</c:f>
              <c:strCache>
                <c:ptCount val="1"/>
                <c:pt idx="0">
                  <c:v>Total</c:v>
                </c:pt>
              </c:strCache>
            </c:strRef>
          </c:tx>
          <c:spPr>
            <a:solidFill>
              <a:schemeClr val="bg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2022</c:v>
                </c:pt>
                <c:pt idx="1">
                  <c:v>2023</c:v>
                </c:pt>
                <c:pt idx="2">
                  <c:v>2024</c:v>
                </c:pt>
              </c:numCache>
            </c:numRef>
          </c:cat>
          <c:val>
            <c:numRef>
              <c:f>Sheet1!$J$2:$J$4</c:f>
              <c:numCache>
                <c:formatCode>_-* #,##0_-;\-* #,##0_-;_-* "-"??_-;_-@_-</c:formatCode>
                <c:ptCount val="3"/>
                <c:pt idx="0">
                  <c:v>326196</c:v>
                </c:pt>
                <c:pt idx="1">
                  <c:v>332685</c:v>
                </c:pt>
                <c:pt idx="2">
                  <c:v>335260</c:v>
                </c:pt>
              </c:numCache>
            </c:numRef>
          </c:val>
          <c:extLst>
            <c:ext xmlns:c16="http://schemas.microsoft.com/office/drawing/2014/chart" uri="{C3380CC4-5D6E-409C-BE32-E72D297353CC}">
              <c16:uniqueId val="{00000009-DD23-4392-88F7-15981D9E28EB}"/>
            </c:ext>
          </c:extLst>
        </c:ser>
        <c:dLbls>
          <c:showLegendKey val="0"/>
          <c:showVal val="1"/>
          <c:showCatName val="0"/>
          <c:showSerName val="0"/>
          <c:showPercent val="0"/>
          <c:showBubbleSize val="0"/>
        </c:dLbls>
        <c:gapWidth val="100"/>
        <c:overlap val="100"/>
        <c:axId val="500783359"/>
        <c:axId val="500783839"/>
      </c:barChart>
      <c:catAx>
        <c:axId val="500783359"/>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500783839"/>
        <c:crosses val="autoZero"/>
        <c:auto val="1"/>
        <c:lblAlgn val="ctr"/>
        <c:lblOffset val="100"/>
        <c:noMultiLvlLbl val="0"/>
      </c:catAx>
      <c:valAx>
        <c:axId val="500783839"/>
        <c:scaling>
          <c:orientation val="minMax"/>
          <c:max val="360000"/>
          <c:min val="0"/>
        </c:scaling>
        <c:delete val="1"/>
        <c:axPos val="l"/>
        <c:numFmt formatCode="#,##0" sourceLinked="1"/>
        <c:majorTickMark val="out"/>
        <c:minorTickMark val="none"/>
        <c:tickLblPos val="nextTo"/>
        <c:crossAx val="500783359"/>
        <c:crosses val="autoZero"/>
        <c:crossBetween val="between"/>
        <c:majorUnit val="100000"/>
      </c:valAx>
      <c:spPr>
        <a:noFill/>
        <a:ln>
          <a:noFill/>
        </a:ln>
        <a:effectLst/>
      </c:spPr>
    </c:plotArea>
    <c:legend>
      <c:legendPos val="r"/>
      <c:layout>
        <c:manualLayout>
          <c:xMode val="edge"/>
          <c:yMode val="edge"/>
          <c:x val="0.86340415313254382"/>
          <c:y val="1.7337045576485258E-2"/>
          <c:w val="8.8194347897524047E-2"/>
          <c:h val="0.859944606371717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bg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4755605837917"/>
          <c:y val="0.11122438925903493"/>
          <c:w val="0.79441209200998686"/>
          <c:h val="0.78474136886735313"/>
        </c:manualLayout>
      </c:layout>
      <c:barChart>
        <c:barDir val="col"/>
        <c:grouping val="clustered"/>
        <c:varyColors val="0"/>
        <c:ser>
          <c:idx val="1"/>
          <c:order val="1"/>
          <c:tx>
            <c:strRef>
              <c:f>Sheet1!$C$1</c:f>
              <c:strCache>
                <c:ptCount val="1"/>
                <c:pt idx="0">
                  <c:v>% of whole economy filled jobs</c:v>
                </c:pt>
              </c:strCache>
            </c:strRef>
          </c:tx>
          <c:spPr>
            <a:solidFill>
              <a:schemeClr val="bg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4C57-4625-97A1-92306B841CFA}"/>
                </c:ext>
              </c:extLst>
            </c:dLbl>
            <c:dLbl>
              <c:idx val="3"/>
              <c:delete val="1"/>
              <c:extLst>
                <c:ext xmlns:c15="http://schemas.microsoft.com/office/drawing/2012/chart" uri="{CE6537A1-D6FC-4f65-9D91-7224C49458BB}"/>
                <c:ext xmlns:c16="http://schemas.microsoft.com/office/drawing/2014/chart" uri="{C3380CC4-5D6E-409C-BE32-E72D297353CC}">
                  <c16:uniqueId val="{00000001-4C57-4625-97A1-92306B841CFA}"/>
                </c:ext>
              </c:extLst>
            </c:dLbl>
            <c:dLbl>
              <c:idx val="4"/>
              <c:delete val="1"/>
              <c:extLst>
                <c:ext xmlns:c15="http://schemas.microsoft.com/office/drawing/2012/chart" uri="{CE6537A1-D6FC-4f65-9D91-7224C49458BB}"/>
                <c:ext xmlns:c16="http://schemas.microsoft.com/office/drawing/2014/chart" uri="{C3380CC4-5D6E-409C-BE32-E72D297353CC}">
                  <c16:uniqueId val="{00000002-4C57-4625-97A1-92306B841CFA}"/>
                </c:ext>
              </c:extLst>
            </c:dLbl>
            <c:dLbl>
              <c:idx val="6"/>
              <c:delete val="1"/>
              <c:extLst>
                <c:ext xmlns:c15="http://schemas.microsoft.com/office/drawing/2012/chart" uri="{CE6537A1-D6FC-4f65-9D91-7224C49458BB}"/>
                <c:ext xmlns:c16="http://schemas.microsoft.com/office/drawing/2014/chart" uri="{C3380CC4-5D6E-409C-BE32-E72D297353CC}">
                  <c16:uniqueId val="{00000003-4C57-4625-97A1-92306B841CFA}"/>
                </c:ext>
              </c:extLst>
            </c:dLbl>
            <c:dLbl>
              <c:idx val="7"/>
              <c:delete val="1"/>
              <c:extLst>
                <c:ext xmlns:c15="http://schemas.microsoft.com/office/drawing/2012/chart" uri="{CE6537A1-D6FC-4f65-9D91-7224C49458BB}"/>
                <c:ext xmlns:c16="http://schemas.microsoft.com/office/drawing/2014/chart" uri="{C3380CC4-5D6E-409C-BE32-E72D297353CC}">
                  <c16:uniqueId val="{00000004-4C57-4625-97A1-92306B841CFA}"/>
                </c:ext>
              </c:extLst>
            </c:dLbl>
            <c:dLbl>
              <c:idx val="8"/>
              <c:delete val="1"/>
              <c:extLst>
                <c:ext xmlns:c15="http://schemas.microsoft.com/office/drawing/2012/chart" uri="{CE6537A1-D6FC-4f65-9D91-7224C49458BB}"/>
                <c:ext xmlns:c16="http://schemas.microsoft.com/office/drawing/2014/chart" uri="{C3380CC4-5D6E-409C-BE32-E72D297353CC}">
                  <c16:uniqueId val="{00000005-4C57-4625-97A1-92306B841CFA}"/>
                </c:ext>
              </c:extLst>
            </c:dLbl>
            <c:dLbl>
              <c:idx val="10"/>
              <c:delete val="1"/>
              <c:extLst>
                <c:ext xmlns:c15="http://schemas.microsoft.com/office/drawing/2012/chart" uri="{CE6537A1-D6FC-4f65-9D91-7224C49458BB}"/>
                <c:ext xmlns:c16="http://schemas.microsoft.com/office/drawing/2014/chart" uri="{C3380CC4-5D6E-409C-BE32-E72D297353CC}">
                  <c16:uniqueId val="{00000006-4C57-4625-97A1-92306B841CFA}"/>
                </c:ext>
              </c:extLst>
            </c:dLbl>
            <c:dLbl>
              <c:idx val="11"/>
              <c:delete val="1"/>
              <c:extLst>
                <c:ext xmlns:c15="http://schemas.microsoft.com/office/drawing/2012/chart" uri="{CE6537A1-D6FC-4f65-9D91-7224C49458BB}"/>
                <c:ext xmlns:c16="http://schemas.microsoft.com/office/drawing/2014/chart" uri="{C3380CC4-5D6E-409C-BE32-E72D297353CC}">
                  <c16:uniqueId val="{00000007-4C57-4625-97A1-92306B841CFA}"/>
                </c:ext>
              </c:extLst>
            </c:dLbl>
            <c:dLbl>
              <c:idx val="12"/>
              <c:delete val="1"/>
              <c:extLst>
                <c:ext xmlns:c15="http://schemas.microsoft.com/office/drawing/2012/chart" uri="{CE6537A1-D6FC-4f65-9D91-7224C49458BB}"/>
                <c:ext xmlns:c16="http://schemas.microsoft.com/office/drawing/2014/chart" uri="{C3380CC4-5D6E-409C-BE32-E72D297353CC}">
                  <c16:uniqueId val="{00000008-4C57-4625-97A1-92306B841CFA}"/>
                </c:ext>
              </c:extLst>
            </c:dLbl>
            <c:dLbl>
              <c:idx val="14"/>
              <c:delete val="1"/>
              <c:extLst>
                <c:ext xmlns:c15="http://schemas.microsoft.com/office/drawing/2012/chart" uri="{CE6537A1-D6FC-4f65-9D91-7224C49458BB}"/>
                <c:ext xmlns:c16="http://schemas.microsoft.com/office/drawing/2014/chart" uri="{C3380CC4-5D6E-409C-BE32-E72D297353CC}">
                  <c16:uniqueId val="{00000009-4C57-4625-97A1-92306B841CFA}"/>
                </c:ext>
              </c:extLst>
            </c:dLbl>
            <c:dLbl>
              <c:idx val="15"/>
              <c:delete val="1"/>
              <c:extLst>
                <c:ext xmlns:c15="http://schemas.microsoft.com/office/drawing/2012/chart" uri="{CE6537A1-D6FC-4f65-9D91-7224C49458BB}"/>
                <c:ext xmlns:c16="http://schemas.microsoft.com/office/drawing/2014/chart" uri="{C3380CC4-5D6E-409C-BE32-E72D297353CC}">
                  <c16:uniqueId val="{0000000A-4C57-4625-97A1-92306B841CFA}"/>
                </c:ext>
              </c:extLst>
            </c:dLbl>
            <c:dLbl>
              <c:idx val="16"/>
              <c:delete val="1"/>
              <c:extLst>
                <c:ext xmlns:c15="http://schemas.microsoft.com/office/drawing/2012/chart" uri="{CE6537A1-D6FC-4f65-9D91-7224C49458BB}"/>
                <c:ext xmlns:c16="http://schemas.microsoft.com/office/drawing/2014/chart" uri="{C3380CC4-5D6E-409C-BE32-E72D297353CC}">
                  <c16:uniqueId val="{0000000B-4C57-4625-97A1-92306B841CFA}"/>
                </c:ext>
              </c:extLst>
            </c:dLbl>
            <c:dLbl>
              <c:idx val="18"/>
              <c:delete val="1"/>
              <c:extLst>
                <c:ext xmlns:c15="http://schemas.microsoft.com/office/drawing/2012/chart" uri="{CE6537A1-D6FC-4f65-9D91-7224C49458BB}"/>
                <c:ext xmlns:c16="http://schemas.microsoft.com/office/drawing/2014/chart" uri="{C3380CC4-5D6E-409C-BE32-E72D297353CC}">
                  <c16:uniqueId val="{0000000C-4C57-4625-97A1-92306B841CFA}"/>
                </c:ext>
              </c:extLst>
            </c:dLbl>
            <c:dLbl>
              <c:idx val="19"/>
              <c:delete val="1"/>
              <c:extLst>
                <c:ext xmlns:c15="http://schemas.microsoft.com/office/drawing/2012/chart" uri="{CE6537A1-D6FC-4f65-9D91-7224C49458BB}"/>
                <c:ext xmlns:c16="http://schemas.microsoft.com/office/drawing/2014/chart" uri="{C3380CC4-5D6E-409C-BE32-E72D297353CC}">
                  <c16:uniqueId val="{0000000D-4C57-4625-97A1-92306B841CFA}"/>
                </c:ext>
              </c:extLst>
            </c:dLbl>
            <c:dLbl>
              <c:idx val="20"/>
              <c:delete val="1"/>
              <c:extLst>
                <c:ext xmlns:c15="http://schemas.microsoft.com/office/drawing/2012/chart" uri="{CE6537A1-D6FC-4f65-9D91-7224C49458BB}"/>
                <c:ext xmlns:c16="http://schemas.microsoft.com/office/drawing/2014/chart" uri="{C3380CC4-5D6E-409C-BE32-E72D297353CC}">
                  <c16:uniqueId val="{0000000E-4C57-4625-97A1-92306B841CFA}"/>
                </c:ext>
              </c:extLst>
            </c:dLbl>
            <c:dLbl>
              <c:idx val="22"/>
              <c:delete val="1"/>
              <c:extLst>
                <c:ext xmlns:c15="http://schemas.microsoft.com/office/drawing/2012/chart" uri="{CE6537A1-D6FC-4f65-9D91-7224C49458BB}"/>
                <c:ext xmlns:c16="http://schemas.microsoft.com/office/drawing/2014/chart" uri="{C3380CC4-5D6E-409C-BE32-E72D297353CC}">
                  <c16:uniqueId val="{0000000F-4C57-4625-97A1-92306B841CFA}"/>
                </c:ext>
              </c:extLst>
            </c:dLbl>
            <c:dLbl>
              <c:idx val="23"/>
              <c:delete val="1"/>
              <c:extLst>
                <c:ext xmlns:c15="http://schemas.microsoft.com/office/drawing/2012/chart" uri="{CE6537A1-D6FC-4f65-9D91-7224C49458BB}"/>
                <c:ext xmlns:c16="http://schemas.microsoft.com/office/drawing/2014/chart" uri="{C3380CC4-5D6E-409C-BE32-E72D297353CC}">
                  <c16:uniqueId val="{00000010-4C57-4625-97A1-92306B841CFA}"/>
                </c:ext>
              </c:extLst>
            </c:dLbl>
            <c:dLbl>
              <c:idx val="24"/>
              <c:delete val="1"/>
              <c:extLst>
                <c:ext xmlns:c15="http://schemas.microsoft.com/office/drawing/2012/chart" uri="{CE6537A1-D6FC-4f65-9D91-7224C49458BB}"/>
                <c:ext xmlns:c16="http://schemas.microsoft.com/office/drawing/2014/chart" uri="{C3380CC4-5D6E-409C-BE32-E72D297353CC}">
                  <c16:uniqueId val="{00000011-4C57-4625-97A1-92306B841CFA}"/>
                </c:ext>
              </c:extLst>
            </c:dLbl>
            <c:dLbl>
              <c:idx val="26"/>
              <c:delete val="1"/>
              <c:extLst>
                <c:ext xmlns:c15="http://schemas.microsoft.com/office/drawing/2012/chart" uri="{CE6537A1-D6FC-4f65-9D91-7224C49458BB}"/>
                <c:ext xmlns:c16="http://schemas.microsoft.com/office/drawing/2014/chart" uri="{C3380CC4-5D6E-409C-BE32-E72D297353CC}">
                  <c16:uniqueId val="{00000012-4C57-4625-97A1-92306B841CFA}"/>
                </c:ext>
              </c:extLst>
            </c:dLbl>
            <c:dLbl>
              <c:idx val="27"/>
              <c:delete val="1"/>
              <c:extLst>
                <c:ext xmlns:c15="http://schemas.microsoft.com/office/drawing/2012/chart" uri="{CE6537A1-D6FC-4f65-9D91-7224C49458BB}"/>
                <c:ext xmlns:c16="http://schemas.microsoft.com/office/drawing/2014/chart" uri="{C3380CC4-5D6E-409C-BE32-E72D297353CC}">
                  <c16:uniqueId val="{00000013-4C57-4625-97A1-92306B841CFA}"/>
                </c:ext>
              </c:extLst>
            </c:dLbl>
            <c:dLbl>
              <c:idx val="28"/>
              <c:delete val="1"/>
              <c:extLst>
                <c:ext xmlns:c15="http://schemas.microsoft.com/office/drawing/2012/chart" uri="{CE6537A1-D6FC-4f65-9D91-7224C49458BB}"/>
                <c:ext xmlns:c16="http://schemas.microsoft.com/office/drawing/2014/chart" uri="{C3380CC4-5D6E-409C-BE32-E72D297353CC}">
                  <c16:uniqueId val="{00000014-4C57-4625-97A1-92306B841CFA}"/>
                </c:ext>
              </c:extLst>
            </c:dLbl>
            <c:dLbl>
              <c:idx val="30"/>
              <c:delete val="1"/>
              <c:extLst>
                <c:ext xmlns:c15="http://schemas.microsoft.com/office/drawing/2012/chart" uri="{CE6537A1-D6FC-4f65-9D91-7224C49458BB}"/>
                <c:ext xmlns:c16="http://schemas.microsoft.com/office/drawing/2014/chart" uri="{C3380CC4-5D6E-409C-BE32-E72D297353CC}">
                  <c16:uniqueId val="{00000015-4C57-4625-97A1-92306B841CFA}"/>
                </c:ext>
              </c:extLst>
            </c:dLbl>
            <c:dLbl>
              <c:idx val="31"/>
              <c:delete val="1"/>
              <c:extLst>
                <c:ext xmlns:c15="http://schemas.microsoft.com/office/drawing/2012/chart" uri="{CE6537A1-D6FC-4f65-9D91-7224C49458BB}"/>
                <c:ext xmlns:c16="http://schemas.microsoft.com/office/drawing/2014/chart" uri="{C3380CC4-5D6E-409C-BE32-E72D297353CC}">
                  <c16:uniqueId val="{00000016-4C57-4625-97A1-92306B841CFA}"/>
                </c:ext>
              </c:extLst>
            </c:dLbl>
            <c:dLbl>
              <c:idx val="32"/>
              <c:delete val="1"/>
              <c:extLst>
                <c:ext xmlns:c15="http://schemas.microsoft.com/office/drawing/2012/chart" uri="{CE6537A1-D6FC-4f65-9D91-7224C49458BB}"/>
                <c:ext xmlns:c16="http://schemas.microsoft.com/office/drawing/2014/chart" uri="{C3380CC4-5D6E-409C-BE32-E72D297353CC}">
                  <c16:uniqueId val="{00000017-4C57-4625-97A1-92306B841CFA}"/>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Sheet1!$A$2:$A$35</c:f>
              <c:numCache>
                <c:formatCode>mmm\-yyyy</c:formatCode>
                <c:ptCount val="34"/>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pt idx="21">
                  <c:v>44531</c:v>
                </c:pt>
                <c:pt idx="22">
                  <c:v>44621</c:v>
                </c:pt>
                <c:pt idx="23">
                  <c:v>44713</c:v>
                </c:pt>
                <c:pt idx="24">
                  <c:v>44805</c:v>
                </c:pt>
                <c:pt idx="25">
                  <c:v>44896</c:v>
                </c:pt>
                <c:pt idx="26">
                  <c:v>44986</c:v>
                </c:pt>
                <c:pt idx="27">
                  <c:v>45078</c:v>
                </c:pt>
                <c:pt idx="28">
                  <c:v>45170</c:v>
                </c:pt>
                <c:pt idx="29">
                  <c:v>45261</c:v>
                </c:pt>
                <c:pt idx="30">
                  <c:v>45352</c:v>
                </c:pt>
                <c:pt idx="31">
                  <c:v>45444</c:v>
                </c:pt>
                <c:pt idx="32">
                  <c:v>45536</c:v>
                </c:pt>
                <c:pt idx="33">
                  <c:v>45627</c:v>
                </c:pt>
              </c:numCache>
            </c:numRef>
          </c:cat>
          <c:val>
            <c:numRef>
              <c:f>Sheet1!$C$2:$C$35</c:f>
              <c:numCache>
                <c:formatCode>0.0%</c:formatCode>
                <c:ptCount val="34"/>
                <c:pt idx="0">
                  <c:v>4.1805696413226082E-2</c:v>
                </c:pt>
                <c:pt idx="1">
                  <c:v>4.2149358315244294E-2</c:v>
                </c:pt>
                <c:pt idx="2">
                  <c:v>4.2883407384709665E-2</c:v>
                </c:pt>
                <c:pt idx="3">
                  <c:v>4.1791949104404133E-2</c:v>
                </c:pt>
                <c:pt idx="4">
                  <c:v>4.3934199965494747E-2</c:v>
                </c:pt>
                <c:pt idx="5">
                  <c:v>4.4794817055091023E-2</c:v>
                </c:pt>
                <c:pt idx="6">
                  <c:v>4.4033174969055969E-2</c:v>
                </c:pt>
                <c:pt idx="7">
                  <c:v>4.328456958023965E-2</c:v>
                </c:pt>
                <c:pt idx="8">
                  <c:v>4.6217656067945166E-2</c:v>
                </c:pt>
                <c:pt idx="9">
                  <c:v>4.6097199649057202E-2</c:v>
                </c:pt>
                <c:pt idx="10">
                  <c:v>4.5567062389492291E-2</c:v>
                </c:pt>
                <c:pt idx="11">
                  <c:v>4.5032721617866221E-2</c:v>
                </c:pt>
                <c:pt idx="12">
                  <c:v>4.658405102983184E-2</c:v>
                </c:pt>
                <c:pt idx="13">
                  <c:v>4.8145453518022761E-2</c:v>
                </c:pt>
                <c:pt idx="14">
                  <c:v>3.7299379413652897E-2</c:v>
                </c:pt>
                <c:pt idx="15">
                  <c:v>2.5467215230229701E-2</c:v>
                </c:pt>
                <c:pt idx="16">
                  <c:v>2.8544518770116132E-2</c:v>
                </c:pt>
                <c:pt idx="17">
                  <c:v>2.824931412894376E-2</c:v>
                </c:pt>
                <c:pt idx="18">
                  <c:v>2.8419891076068772E-2</c:v>
                </c:pt>
                <c:pt idx="19">
                  <c:v>2.8247751177283363E-2</c:v>
                </c:pt>
                <c:pt idx="20">
                  <c:v>2.4397485661317421E-2</c:v>
                </c:pt>
                <c:pt idx="21">
                  <c:v>2.8462072330220505E-2</c:v>
                </c:pt>
                <c:pt idx="22">
                  <c:v>3.2479336008505673E-2</c:v>
                </c:pt>
                <c:pt idx="23">
                  <c:v>3.3815318925398873E-2</c:v>
                </c:pt>
                <c:pt idx="24">
                  <c:v>3.9585265223292886E-2</c:v>
                </c:pt>
                <c:pt idx="25">
                  <c:v>4.4075652042618277E-2</c:v>
                </c:pt>
                <c:pt idx="26">
                  <c:v>4.5168417405855553E-2</c:v>
                </c:pt>
                <c:pt idx="27">
                  <c:v>4.3374574376835701E-2</c:v>
                </c:pt>
                <c:pt idx="28">
                  <c:v>4.5991629627226416E-2</c:v>
                </c:pt>
                <c:pt idx="29">
                  <c:v>4.4481370230715155E-2</c:v>
                </c:pt>
                <c:pt idx="30">
                  <c:v>4.3882936190628496E-2</c:v>
                </c:pt>
                <c:pt idx="31">
                  <c:v>4.2874450041446154E-2</c:v>
                </c:pt>
                <c:pt idx="32">
                  <c:v>4.3510896647428007E-2</c:v>
                </c:pt>
                <c:pt idx="33">
                  <c:v>4.4233797473062948E-2</c:v>
                </c:pt>
              </c:numCache>
            </c:numRef>
          </c:val>
          <c:extLst>
            <c:ext xmlns:c16="http://schemas.microsoft.com/office/drawing/2014/chart" uri="{C3380CC4-5D6E-409C-BE32-E72D297353CC}">
              <c16:uniqueId val="{00000018-4C57-4625-97A1-92306B841CFA}"/>
            </c:ext>
          </c:extLst>
        </c:ser>
        <c:dLbls>
          <c:showLegendKey val="0"/>
          <c:showVal val="0"/>
          <c:showCatName val="0"/>
          <c:showSerName val="0"/>
          <c:showPercent val="0"/>
          <c:showBubbleSize val="0"/>
        </c:dLbls>
        <c:gapWidth val="0"/>
        <c:overlap val="10"/>
        <c:axId val="1779326080"/>
        <c:axId val="142809535"/>
      </c:barChart>
      <c:lineChart>
        <c:grouping val="standard"/>
        <c:varyColors val="0"/>
        <c:ser>
          <c:idx val="0"/>
          <c:order val="0"/>
          <c:tx>
            <c:strRef>
              <c:f>Sheet1!$B$1</c:f>
              <c:strCache>
                <c:ptCount val="1"/>
                <c:pt idx="0">
                  <c:v>Total tourism filled jobs</c:v>
                </c:pt>
              </c:strCache>
            </c:strRef>
          </c:tx>
          <c:spPr>
            <a:ln w="28575" cap="rnd">
              <a:solidFill>
                <a:schemeClr val="tx2"/>
              </a:solidFill>
              <a:round/>
            </a:ln>
            <a:effectLst/>
          </c:spPr>
          <c:marker>
            <c:symbol val="none"/>
          </c:marker>
          <c:cat>
            <c:numRef>
              <c:f>Sheet1!$A$2:$A$35</c:f>
              <c:numCache>
                <c:formatCode>mmm\-yyyy</c:formatCode>
                <c:ptCount val="34"/>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pt idx="20">
                  <c:v>44440</c:v>
                </c:pt>
                <c:pt idx="21">
                  <c:v>44531</c:v>
                </c:pt>
                <c:pt idx="22">
                  <c:v>44621</c:v>
                </c:pt>
                <c:pt idx="23">
                  <c:v>44713</c:v>
                </c:pt>
                <c:pt idx="24">
                  <c:v>44805</c:v>
                </c:pt>
                <c:pt idx="25">
                  <c:v>44896</c:v>
                </c:pt>
                <c:pt idx="26">
                  <c:v>44986</c:v>
                </c:pt>
                <c:pt idx="27">
                  <c:v>45078</c:v>
                </c:pt>
                <c:pt idx="28">
                  <c:v>45170</c:v>
                </c:pt>
                <c:pt idx="29">
                  <c:v>45261</c:v>
                </c:pt>
                <c:pt idx="30">
                  <c:v>45352</c:v>
                </c:pt>
                <c:pt idx="31">
                  <c:v>45444</c:v>
                </c:pt>
                <c:pt idx="32">
                  <c:v>45536</c:v>
                </c:pt>
                <c:pt idx="33">
                  <c:v>45627</c:v>
                </c:pt>
              </c:numCache>
            </c:numRef>
          </c:cat>
          <c:val>
            <c:numRef>
              <c:f>Sheet1!$B$2:$B$35</c:f>
              <c:numCache>
                <c:formatCode>#,##0</c:formatCode>
                <c:ptCount val="34"/>
                <c:pt idx="0">
                  <c:v>540</c:v>
                </c:pt>
                <c:pt idx="1">
                  <c:v>553.4</c:v>
                </c:pt>
                <c:pt idx="2">
                  <c:v>559.79999999999995</c:v>
                </c:pt>
                <c:pt idx="3">
                  <c:v>551.79999999999995</c:v>
                </c:pt>
                <c:pt idx="4">
                  <c:v>585.70000000000005</c:v>
                </c:pt>
                <c:pt idx="5">
                  <c:v>604.29999999999995</c:v>
                </c:pt>
                <c:pt idx="6">
                  <c:v>594.1</c:v>
                </c:pt>
                <c:pt idx="7">
                  <c:v>588.79999999999995</c:v>
                </c:pt>
                <c:pt idx="8">
                  <c:v>630.70000000000005</c:v>
                </c:pt>
                <c:pt idx="9">
                  <c:v>641</c:v>
                </c:pt>
                <c:pt idx="10">
                  <c:v>631.4</c:v>
                </c:pt>
                <c:pt idx="11">
                  <c:v>625.5</c:v>
                </c:pt>
                <c:pt idx="12">
                  <c:v>650.70000000000005</c:v>
                </c:pt>
                <c:pt idx="13">
                  <c:v>681.6</c:v>
                </c:pt>
                <c:pt idx="14">
                  <c:v>522.9</c:v>
                </c:pt>
                <c:pt idx="15">
                  <c:v>335.5</c:v>
                </c:pt>
                <c:pt idx="16">
                  <c:v>384.9</c:v>
                </c:pt>
                <c:pt idx="17">
                  <c:v>395.4</c:v>
                </c:pt>
                <c:pt idx="18">
                  <c:v>399.2</c:v>
                </c:pt>
                <c:pt idx="19">
                  <c:v>400.7</c:v>
                </c:pt>
                <c:pt idx="20">
                  <c:v>336.9</c:v>
                </c:pt>
                <c:pt idx="21">
                  <c:v>414.2</c:v>
                </c:pt>
                <c:pt idx="22">
                  <c:v>473.5</c:v>
                </c:pt>
                <c:pt idx="23">
                  <c:v>502.1</c:v>
                </c:pt>
                <c:pt idx="24">
                  <c:v>589.1</c:v>
                </c:pt>
                <c:pt idx="25">
                  <c:v>671.4</c:v>
                </c:pt>
                <c:pt idx="26">
                  <c:v>691</c:v>
                </c:pt>
                <c:pt idx="27">
                  <c:v>667.5</c:v>
                </c:pt>
                <c:pt idx="28">
                  <c:v>708.8</c:v>
                </c:pt>
                <c:pt idx="29">
                  <c:v>696</c:v>
                </c:pt>
                <c:pt idx="30">
                  <c:v>686</c:v>
                </c:pt>
                <c:pt idx="31">
                  <c:v>672.4</c:v>
                </c:pt>
                <c:pt idx="32">
                  <c:v>689.8</c:v>
                </c:pt>
                <c:pt idx="33">
                  <c:v>713.5</c:v>
                </c:pt>
              </c:numCache>
            </c:numRef>
          </c:val>
          <c:smooth val="1"/>
          <c:extLst>
            <c:ext xmlns:c16="http://schemas.microsoft.com/office/drawing/2014/chart" uri="{C3380CC4-5D6E-409C-BE32-E72D297353CC}">
              <c16:uniqueId val="{00000019-4C57-4625-97A1-92306B841CFA}"/>
            </c:ext>
          </c:extLst>
        </c:ser>
        <c:dLbls>
          <c:showLegendKey val="0"/>
          <c:showVal val="0"/>
          <c:showCatName val="0"/>
          <c:showSerName val="0"/>
          <c:showPercent val="0"/>
          <c:showBubbleSize val="0"/>
        </c:dLbls>
        <c:marker val="1"/>
        <c:smooth val="0"/>
        <c:axId val="142807135"/>
        <c:axId val="142807615"/>
      </c:lineChart>
      <c:dateAx>
        <c:axId val="142807135"/>
        <c:scaling>
          <c:orientation val="minMax"/>
          <c:min val="42736"/>
        </c:scaling>
        <c:delete val="0"/>
        <c:axPos val="b"/>
        <c:numFmt formatCode="yyyy" sourceLinked="0"/>
        <c:majorTickMark val="in"/>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142807615"/>
        <c:crosses val="autoZero"/>
        <c:auto val="1"/>
        <c:lblOffset val="100"/>
        <c:baseTimeUnit val="months"/>
        <c:majorUnit val="1"/>
        <c:majorTimeUnit val="years"/>
        <c:minorUnit val="3"/>
        <c:minorTimeUnit val="months"/>
      </c:dateAx>
      <c:valAx>
        <c:axId val="1428076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50">
                    <a:solidFill>
                      <a:schemeClr val="tx1">
                        <a:lumMod val="85000"/>
                        <a:lumOff val="15000"/>
                      </a:schemeClr>
                    </a:solidFill>
                  </a:rPr>
                  <a:t>Tourism filled jobs (000)</a:t>
                </a:r>
              </a:p>
            </c:rich>
          </c:tx>
          <c:layout>
            <c:manualLayout>
              <c:xMode val="edge"/>
              <c:yMode val="edge"/>
              <c:x val="7.2023402501792434E-3"/>
              <c:y val="0.177514004779253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en-US"/>
          </a:p>
        </c:txPr>
        <c:crossAx val="142807135"/>
        <c:crossesAt val="42736"/>
        <c:crossBetween val="midCat"/>
        <c:majorUnit val="200"/>
      </c:valAx>
      <c:valAx>
        <c:axId val="142809535"/>
        <c:scaling>
          <c:orientation val="minMax"/>
          <c:max val="0.1600000000000000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en-US"/>
          </a:p>
        </c:txPr>
        <c:crossAx val="1779326080"/>
        <c:crosses val="max"/>
        <c:crossBetween val="between"/>
        <c:majorUnit val="4.0000000000000008E-2"/>
      </c:valAx>
      <c:dateAx>
        <c:axId val="1779326080"/>
        <c:scaling>
          <c:orientation val="minMax"/>
        </c:scaling>
        <c:delete val="1"/>
        <c:axPos val="b"/>
        <c:numFmt formatCode="mmm\-yyyy" sourceLinked="1"/>
        <c:majorTickMark val="out"/>
        <c:minorTickMark val="none"/>
        <c:tickLblPos val="nextTo"/>
        <c:crossAx val="142809535"/>
        <c:crosses val="autoZero"/>
        <c:auto val="1"/>
        <c:lblOffset val="100"/>
        <c:baseTimeUnit val="months"/>
      </c:date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60978754060232"/>
          <c:y val="7.3964608292158313E-2"/>
          <c:w val="0.6459440120125961"/>
          <c:h val="0.89057863483926558"/>
        </c:manualLayout>
      </c:layout>
      <c:barChart>
        <c:barDir val="bar"/>
        <c:grouping val="clustered"/>
        <c:varyColors val="0"/>
        <c:ser>
          <c:idx val="0"/>
          <c:order val="0"/>
          <c:tx>
            <c:strRef>
              <c:f>Sheet1!$B$1</c:f>
              <c:strCache>
                <c:ptCount val="1"/>
                <c:pt idx="0">
                  <c:v>2024</c:v>
                </c:pt>
              </c:strCache>
            </c:strRef>
          </c:tx>
          <c:spPr>
            <a:solidFill>
              <a:schemeClr val="tx2"/>
            </a:solidFill>
            <a:ln>
              <a:noFill/>
            </a:ln>
            <a:effectLst/>
          </c:spPr>
          <c:invertIfNegative val="0"/>
          <c:dLbls>
            <c:dLbl>
              <c:idx val="6"/>
              <c:layout>
                <c:manualLayout>
                  <c:x val="-1.9481763263329327E-3"/>
                  <c:y val="-3.0057108506160606E-3"/>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09-4AFC-8666-8B9C48383970}"/>
                </c:ext>
              </c:extLst>
            </c:dLbl>
            <c:dLbl>
              <c:idx val="7"/>
              <c:layout>
                <c:manualLayout>
                  <c:x val="-5.6623437974735952E-3"/>
                  <c:y val="-3.0057108506161708E-3"/>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09-4AFC-8666-8B9C48383970}"/>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Waiters</c:v>
                </c:pt>
                <c:pt idx="1">
                  <c:v>Chefs</c:v>
                </c:pt>
                <c:pt idx="2">
                  <c:v>Bar Attendants and Baristas</c:v>
                </c:pt>
                <c:pt idx="3">
                  <c:v>Cooks</c:v>
                </c:pt>
                <c:pt idx="4">
                  <c:v>Kitchenhands</c:v>
                </c:pt>
                <c:pt idx="5">
                  <c:v>Hotel related*</c:v>
                </c:pt>
                <c:pt idx="6">
                  <c:v>Other tourism^</c:v>
                </c:pt>
                <c:pt idx="7">
                  <c:v>Other food services~</c:v>
                </c:pt>
              </c:strCache>
            </c:strRef>
          </c:cat>
          <c:val>
            <c:numRef>
              <c:f>Sheet1!$B$2:$B$9</c:f>
              <c:numCache>
                <c:formatCode>#,##0</c:formatCode>
                <c:ptCount val="8"/>
                <c:pt idx="0">
                  <c:v>44245.333330000001</c:v>
                </c:pt>
                <c:pt idx="1">
                  <c:v>36204.666679999995</c:v>
                </c:pt>
                <c:pt idx="2">
                  <c:v>22854.999989999997</c:v>
                </c:pt>
                <c:pt idx="3">
                  <c:v>20518.00001</c:v>
                </c:pt>
                <c:pt idx="4">
                  <c:v>16490.333340000001</c:v>
                </c:pt>
                <c:pt idx="5">
                  <c:v>17466.666649999999</c:v>
                </c:pt>
                <c:pt idx="6">
                  <c:v>5816.3333500000008</c:v>
                </c:pt>
                <c:pt idx="7">
                  <c:v>6276.3333599999996</c:v>
                </c:pt>
              </c:numCache>
            </c:numRef>
          </c:val>
          <c:extLst>
            <c:ext xmlns:c16="http://schemas.microsoft.com/office/drawing/2014/chart" uri="{C3380CC4-5D6E-409C-BE32-E72D297353CC}">
              <c16:uniqueId val="{00000002-E009-4AFC-8666-8B9C48383970}"/>
            </c:ext>
          </c:extLst>
        </c:ser>
        <c:ser>
          <c:idx val="1"/>
          <c:order val="1"/>
          <c:tx>
            <c:strRef>
              <c:f>Sheet1!$C$1</c:f>
              <c:strCache>
                <c:ptCount val="1"/>
                <c:pt idx="0">
                  <c:v>2023</c:v>
                </c:pt>
              </c:strCache>
            </c:strRef>
          </c:tx>
          <c:spPr>
            <a:solidFill>
              <a:schemeClr val="accent4"/>
            </a:solidFill>
            <a:ln>
              <a:noFill/>
            </a:ln>
            <a:effectLst/>
          </c:spPr>
          <c:invertIfNegative val="0"/>
          <c:dLbls>
            <c:dLbl>
              <c:idx val="6"/>
              <c:layout>
                <c:manualLayout>
                  <c:x val="6.9485570012063917E-4"/>
                  <c:y val="3.00571085061628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09-4AFC-8666-8B9C48383970}"/>
                </c:ext>
              </c:extLst>
            </c:dLbl>
            <c:dLbl>
              <c:idx val="7"/>
              <c:layout>
                <c:manualLayout>
                  <c:x val="-3.0514954567836192E-3"/>
                  <c:y val="3.00571085061617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09-4AFC-8666-8B9C4838397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Waiters</c:v>
                </c:pt>
                <c:pt idx="1">
                  <c:v>Chefs</c:v>
                </c:pt>
                <c:pt idx="2">
                  <c:v>Bar Attendants and Baristas</c:v>
                </c:pt>
                <c:pt idx="3">
                  <c:v>Cooks</c:v>
                </c:pt>
                <c:pt idx="4">
                  <c:v>Kitchenhands</c:v>
                </c:pt>
                <c:pt idx="5">
                  <c:v>Hotel related*</c:v>
                </c:pt>
                <c:pt idx="6">
                  <c:v>Other tourism^</c:v>
                </c:pt>
                <c:pt idx="7">
                  <c:v>Other food services~</c:v>
                </c:pt>
              </c:strCache>
            </c:strRef>
          </c:cat>
          <c:val>
            <c:numRef>
              <c:f>Sheet1!$C$2:$C$9</c:f>
              <c:numCache>
                <c:formatCode>#,##0</c:formatCode>
                <c:ptCount val="8"/>
                <c:pt idx="0">
                  <c:v>62153.333330000001</c:v>
                </c:pt>
                <c:pt idx="1">
                  <c:v>39787.666659999995</c:v>
                </c:pt>
                <c:pt idx="2">
                  <c:v>28427.333330000001</c:v>
                </c:pt>
                <c:pt idx="3">
                  <c:v>25002.333340000001</c:v>
                </c:pt>
                <c:pt idx="4">
                  <c:v>21143.666669999999</c:v>
                </c:pt>
                <c:pt idx="5">
                  <c:v>19543.333329999998</c:v>
                </c:pt>
                <c:pt idx="6">
                  <c:v>7273</c:v>
                </c:pt>
                <c:pt idx="7">
                  <c:v>7736.9999700000008</c:v>
                </c:pt>
              </c:numCache>
            </c:numRef>
          </c:val>
          <c:extLst>
            <c:ext xmlns:c16="http://schemas.microsoft.com/office/drawing/2014/chart" uri="{C3380CC4-5D6E-409C-BE32-E72D297353CC}">
              <c16:uniqueId val="{00000005-E009-4AFC-8666-8B9C48383970}"/>
            </c:ext>
          </c:extLst>
        </c:ser>
        <c:dLbls>
          <c:dLblPos val="outEnd"/>
          <c:showLegendKey val="0"/>
          <c:showVal val="1"/>
          <c:showCatName val="0"/>
          <c:showSerName val="0"/>
          <c:showPercent val="0"/>
          <c:showBubbleSize val="0"/>
        </c:dLbls>
        <c:gapWidth val="60"/>
        <c:axId val="2060350416"/>
        <c:axId val="2060331696"/>
      </c:barChart>
      <c:catAx>
        <c:axId val="2060350416"/>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2060331696"/>
        <c:crosses val="autoZero"/>
        <c:auto val="1"/>
        <c:lblAlgn val="ctr"/>
        <c:lblOffset val="100"/>
        <c:noMultiLvlLbl val="0"/>
      </c:catAx>
      <c:valAx>
        <c:axId val="2060331696"/>
        <c:scaling>
          <c:orientation val="minMax"/>
        </c:scaling>
        <c:delete val="1"/>
        <c:axPos val="t"/>
        <c:numFmt formatCode="#,##0" sourceLinked="1"/>
        <c:majorTickMark val="none"/>
        <c:minorTickMark val="none"/>
        <c:tickLblPos val="nextTo"/>
        <c:crossAx val="2060350416"/>
        <c:crosses val="autoZero"/>
        <c:crossBetween val="between"/>
      </c:valAx>
      <c:spPr>
        <a:noFill/>
        <a:ln>
          <a:noFill/>
        </a:ln>
        <a:effectLst/>
      </c:spPr>
    </c:plotArea>
    <c:legend>
      <c:legendPos val="b"/>
      <c:layout>
        <c:manualLayout>
          <c:xMode val="edge"/>
          <c:yMode val="edge"/>
          <c:x val="0.39239234842835652"/>
          <c:y val="2.7374801645496066E-3"/>
          <c:w val="0.24330503279786656"/>
          <c:h val="6.889575765779994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7498009378041"/>
          <c:y val="0.10131773721210893"/>
          <c:w val="0.86035439390300927"/>
          <c:h val="0.80110455646420409"/>
        </c:manualLayout>
      </c:layout>
      <c:barChart>
        <c:barDir val="bar"/>
        <c:grouping val="stacked"/>
        <c:varyColors val="0"/>
        <c:ser>
          <c:idx val="0"/>
          <c:order val="0"/>
          <c:tx>
            <c:strRef>
              <c:f>Sheet1!$B$1</c:f>
              <c:strCache>
                <c:ptCount val="1"/>
                <c:pt idx="0">
                  <c:v>Aviation</c:v>
                </c:pt>
              </c:strCache>
            </c:strRef>
          </c:tx>
          <c:spPr>
            <a:solidFill>
              <a:schemeClr val="tx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Sheet1!$B$2:$B$6</c:f>
              <c:numCache>
                <c:formatCode>"$"#,##0.0</c:formatCode>
                <c:ptCount val="5"/>
                <c:pt idx="0">
                  <c:v>18.190999999999999</c:v>
                </c:pt>
                <c:pt idx="1">
                  <c:v>16.681999999999999</c:v>
                </c:pt>
                <c:pt idx="2">
                  <c:v>16.7</c:v>
                </c:pt>
                <c:pt idx="3">
                  <c:v>18.846</c:v>
                </c:pt>
                <c:pt idx="4">
                  <c:v>23.08</c:v>
                </c:pt>
              </c:numCache>
            </c:numRef>
          </c:val>
          <c:extLst>
            <c:ext xmlns:c16="http://schemas.microsoft.com/office/drawing/2014/chart" uri="{C3380CC4-5D6E-409C-BE32-E72D297353CC}">
              <c16:uniqueId val="{00000000-462A-4614-B4D7-A7D397BF849C}"/>
            </c:ext>
          </c:extLst>
        </c:ser>
        <c:ser>
          <c:idx val="1"/>
          <c:order val="1"/>
          <c:tx>
            <c:strRef>
              <c:f>Sheet1!$C$1</c:f>
              <c:strCache>
                <c:ptCount val="1"/>
                <c:pt idx="0">
                  <c:v>Arts, recreation, &amp; business services</c:v>
                </c:pt>
              </c:strCache>
            </c:strRef>
          </c:tx>
          <c:spPr>
            <a:solidFill>
              <a:schemeClr val="bg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Sheet1!$C$2:$C$6</c:f>
              <c:numCache>
                <c:formatCode>"$"#,##0.0</c:formatCode>
                <c:ptCount val="5"/>
                <c:pt idx="0">
                  <c:v>14.319699999999997</c:v>
                </c:pt>
                <c:pt idx="1">
                  <c:v>15.677999999999999</c:v>
                </c:pt>
                <c:pt idx="2">
                  <c:v>16.100000000000001</c:v>
                </c:pt>
                <c:pt idx="3">
                  <c:v>25.11</c:v>
                </c:pt>
                <c:pt idx="4">
                  <c:v>28.882483537999999</c:v>
                </c:pt>
              </c:numCache>
            </c:numRef>
          </c:val>
          <c:extLst>
            <c:ext xmlns:c16="http://schemas.microsoft.com/office/drawing/2014/chart" uri="{C3380CC4-5D6E-409C-BE32-E72D297353CC}">
              <c16:uniqueId val="{00000001-462A-4614-B4D7-A7D397BF849C}"/>
            </c:ext>
          </c:extLst>
        </c:ser>
        <c:ser>
          <c:idx val="2"/>
          <c:order val="2"/>
          <c:tx>
            <c:strRef>
              <c:f>Sheet1!$D$1</c:f>
              <c:strCache>
                <c:ptCount val="1"/>
                <c:pt idx="0">
                  <c:v>Accommodation</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2019-20</c:v>
                </c:pt>
                <c:pt idx="1">
                  <c:v>2020-21</c:v>
                </c:pt>
                <c:pt idx="2">
                  <c:v>2021-22</c:v>
                </c:pt>
                <c:pt idx="3">
                  <c:v>2022-23</c:v>
                </c:pt>
                <c:pt idx="4">
                  <c:v>2023-24</c:v>
                </c:pt>
              </c:strCache>
            </c:strRef>
          </c:cat>
          <c:val>
            <c:numRef>
              <c:f>Sheet1!$D$2:$D$6</c:f>
              <c:numCache>
                <c:formatCode>"$"#,##0.0</c:formatCode>
                <c:ptCount val="5"/>
                <c:pt idx="0">
                  <c:v>11.0625</c:v>
                </c:pt>
                <c:pt idx="1">
                  <c:v>10.452299999999999</c:v>
                </c:pt>
                <c:pt idx="2">
                  <c:v>11.5</c:v>
                </c:pt>
                <c:pt idx="3">
                  <c:v>12.192265000000001</c:v>
                </c:pt>
                <c:pt idx="4">
                  <c:v>11.449</c:v>
                </c:pt>
              </c:numCache>
            </c:numRef>
          </c:val>
          <c:extLst>
            <c:ext xmlns:c16="http://schemas.microsoft.com/office/drawing/2014/chart" uri="{C3380CC4-5D6E-409C-BE32-E72D297353CC}">
              <c16:uniqueId val="{00000002-462A-4614-B4D7-A7D397BF849C}"/>
            </c:ext>
          </c:extLst>
        </c:ser>
        <c:ser>
          <c:idx val="3"/>
          <c:order val="3"/>
          <c:tx>
            <c:strRef>
              <c:f>Sheet1!$E$1</c:f>
              <c:strCache>
                <c:ptCount val="1"/>
                <c:pt idx="0">
                  <c:v>Total</c:v>
                </c:pt>
              </c:strCache>
            </c:strRef>
          </c:tx>
          <c:spPr>
            <a:solidFill>
              <a:schemeClr val="bg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2019-20</c:v>
                </c:pt>
                <c:pt idx="1">
                  <c:v>2020-21</c:v>
                </c:pt>
                <c:pt idx="2">
                  <c:v>2021-22</c:v>
                </c:pt>
                <c:pt idx="3">
                  <c:v>2022-23</c:v>
                </c:pt>
                <c:pt idx="4">
                  <c:v>2023-24</c:v>
                </c:pt>
              </c:strCache>
            </c:strRef>
          </c:cat>
          <c:val>
            <c:numRef>
              <c:f>Sheet1!$E$2:$E$6</c:f>
              <c:numCache>
                <c:formatCode>"$"#,##0.0</c:formatCode>
                <c:ptCount val="5"/>
                <c:pt idx="0">
                  <c:v>43.5732</c:v>
                </c:pt>
                <c:pt idx="1">
                  <c:v>42.812299999999993</c:v>
                </c:pt>
                <c:pt idx="2">
                  <c:v>44.3</c:v>
                </c:pt>
                <c:pt idx="3">
                  <c:v>56.148265000000002</c:v>
                </c:pt>
                <c:pt idx="4">
                  <c:v>63.411483537999999</c:v>
                </c:pt>
              </c:numCache>
            </c:numRef>
          </c:val>
          <c:extLst>
            <c:ext xmlns:c16="http://schemas.microsoft.com/office/drawing/2014/chart" uri="{C3380CC4-5D6E-409C-BE32-E72D297353CC}">
              <c16:uniqueId val="{00000003-462A-4614-B4D7-A7D397BF849C}"/>
            </c:ext>
          </c:extLst>
        </c:ser>
        <c:dLbls>
          <c:showLegendKey val="0"/>
          <c:showVal val="0"/>
          <c:showCatName val="0"/>
          <c:showSerName val="0"/>
          <c:showPercent val="0"/>
          <c:showBubbleSize val="0"/>
        </c:dLbls>
        <c:gapWidth val="62"/>
        <c:overlap val="100"/>
        <c:axId val="2060353296"/>
        <c:axId val="2060354256"/>
      </c:barChart>
      <c:catAx>
        <c:axId val="2060353296"/>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2060354256"/>
        <c:crosses val="autoZero"/>
        <c:auto val="1"/>
        <c:lblAlgn val="ctr"/>
        <c:lblOffset val="100"/>
        <c:noMultiLvlLbl val="0"/>
      </c:catAx>
      <c:valAx>
        <c:axId val="2060354256"/>
        <c:scaling>
          <c:orientation val="minMax"/>
          <c:max val="70"/>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50">
                    <a:solidFill>
                      <a:schemeClr val="tx1">
                        <a:lumMod val="95000"/>
                        <a:lumOff val="5000"/>
                      </a:schemeClr>
                    </a:solidFill>
                  </a:rPr>
                  <a:t>$ billion</a:t>
                </a:r>
              </a:p>
            </c:rich>
          </c:tx>
          <c:layout>
            <c:manualLayout>
              <c:xMode val="edge"/>
              <c:yMode val="edge"/>
              <c:x val="0.43635065279761376"/>
              <c:y val="0.883579681157218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crossAx val="2060353296"/>
        <c:crosses val="autoZero"/>
        <c:crossBetween val="between"/>
      </c:valAx>
      <c:spPr>
        <a:noFill/>
        <a:ln>
          <a:noFill/>
        </a:ln>
        <a:effectLst/>
      </c:spPr>
    </c:plotArea>
    <c:legend>
      <c:legendPos val="t"/>
      <c:layout>
        <c:manualLayout>
          <c:xMode val="edge"/>
          <c:yMode val="edge"/>
          <c:x val="5.3715847544604532E-2"/>
          <c:y val="1.7057569296375266E-2"/>
          <c:w val="0.93398161957097037"/>
          <c:h val="5.80084952067558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387588978321"/>
          <c:y val="0.1099631202816066"/>
          <c:w val="0.86105480541417512"/>
          <c:h val="0.80738333081499136"/>
        </c:manualLayout>
      </c:layout>
      <c:lineChart>
        <c:grouping val="standard"/>
        <c:varyColors val="0"/>
        <c:ser>
          <c:idx val="0"/>
          <c:order val="0"/>
          <c:tx>
            <c:strRef>
              <c:f>Sheet1!$B$1</c:f>
              <c:strCache>
                <c:ptCount val="1"/>
                <c:pt idx="0">
                  <c:v>2024</c:v>
                </c:pt>
              </c:strCache>
            </c:strRef>
          </c:tx>
          <c:spPr>
            <a:ln w="28575" cap="rnd">
              <a:solidFill>
                <a:schemeClr val="tx2"/>
              </a:solidFill>
              <a:round/>
            </a:ln>
            <a:effectLst/>
          </c:spPr>
          <c:marker>
            <c:symbol val="none"/>
          </c:marker>
          <c:dPt>
            <c:idx val="10"/>
            <c:marker>
              <c:symbol val="none"/>
            </c:marker>
            <c:bubble3D val="0"/>
            <c:spPr>
              <a:ln w="28575" cap="rnd">
                <a:solidFill>
                  <a:schemeClr val="tx2"/>
                </a:solidFill>
                <a:round/>
              </a:ln>
              <a:effectLst/>
            </c:spPr>
            <c:extLst>
              <c:ext xmlns:c16="http://schemas.microsoft.com/office/drawing/2014/chart" uri="{C3380CC4-5D6E-409C-BE32-E72D297353CC}">
                <c16:uniqueId val="{00000001-F929-48CD-AD43-1333F5317BA3}"/>
              </c:ext>
            </c:extLst>
          </c:dPt>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0</c:formatCode>
                <c:ptCount val="12"/>
                <c:pt idx="0">
                  <c:v>67.08158737346659</c:v>
                </c:pt>
                <c:pt idx="1">
                  <c:v>72.774319059781362</c:v>
                </c:pt>
                <c:pt idx="2">
                  <c:v>72.810112337415262</c:v>
                </c:pt>
                <c:pt idx="3">
                  <c:v>67.975156763506575</c:v>
                </c:pt>
                <c:pt idx="4">
                  <c:v>66.541942841320591</c:v>
                </c:pt>
                <c:pt idx="5">
                  <c:v>66.345157463626464</c:v>
                </c:pt>
                <c:pt idx="6">
                  <c:v>70.484340026963665</c:v>
                </c:pt>
                <c:pt idx="7">
                  <c:v>71.12721575427409</c:v>
                </c:pt>
                <c:pt idx="8">
                  <c:v>71.905372734447312</c:v>
                </c:pt>
                <c:pt idx="9">
                  <c:v>75.042757468340724</c:v>
                </c:pt>
                <c:pt idx="10">
                  <c:v>76.318624056467883</c:v>
                </c:pt>
                <c:pt idx="11">
                  <c:v>68.862592599587671</c:v>
                </c:pt>
              </c:numCache>
            </c:numRef>
          </c:val>
          <c:smooth val="1"/>
          <c:extLst>
            <c:ext xmlns:c16="http://schemas.microsoft.com/office/drawing/2014/chart" uri="{C3380CC4-5D6E-409C-BE32-E72D297353CC}">
              <c16:uniqueId val="{00000002-F929-48CD-AD43-1333F5317BA3}"/>
            </c:ext>
          </c:extLst>
        </c:ser>
        <c:ser>
          <c:idx val="1"/>
          <c:order val="1"/>
          <c:tx>
            <c:strRef>
              <c:f>Sheet1!$C$1</c:f>
              <c:strCache>
                <c:ptCount val="1"/>
                <c:pt idx="0">
                  <c:v>2023</c:v>
                </c:pt>
              </c:strCache>
            </c:strRef>
          </c:tx>
          <c:spPr>
            <a:ln w="28575" cap="rnd">
              <a:solidFill>
                <a:schemeClr val="accent4"/>
              </a:solidFill>
              <a:round/>
            </a:ln>
            <a:effectLst/>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Cache>
                <c:formatCode>0</c:formatCode>
                <c:ptCount val="12"/>
                <c:pt idx="0">
                  <c:v>64.954600214724906</c:v>
                </c:pt>
                <c:pt idx="1">
                  <c:v>70.296794861470843</c:v>
                </c:pt>
                <c:pt idx="2">
                  <c:v>72.891743653524884</c:v>
                </c:pt>
                <c:pt idx="3">
                  <c:v>66.178182829208055</c:v>
                </c:pt>
                <c:pt idx="4">
                  <c:v>66.234974900006407</c:v>
                </c:pt>
                <c:pt idx="5">
                  <c:v>66.183326542964593</c:v>
                </c:pt>
                <c:pt idx="6">
                  <c:v>70.553753565985389</c:v>
                </c:pt>
                <c:pt idx="7">
                  <c:v>70.631794041177386</c:v>
                </c:pt>
                <c:pt idx="8">
                  <c:v>72.140453628041755</c:v>
                </c:pt>
                <c:pt idx="9">
                  <c:v>72.671895868921936</c:v>
                </c:pt>
                <c:pt idx="10">
                  <c:v>75.496445034267438</c:v>
                </c:pt>
                <c:pt idx="11">
                  <c:v>68.510552493614739</c:v>
                </c:pt>
              </c:numCache>
            </c:numRef>
          </c:val>
          <c:smooth val="1"/>
          <c:extLst>
            <c:ext xmlns:c16="http://schemas.microsoft.com/office/drawing/2014/chart" uri="{C3380CC4-5D6E-409C-BE32-E72D297353CC}">
              <c16:uniqueId val="{00000003-F929-48CD-AD43-1333F5317BA3}"/>
            </c:ext>
          </c:extLst>
        </c:ser>
        <c:ser>
          <c:idx val="2"/>
          <c:order val="2"/>
          <c:tx>
            <c:strRef>
              <c:f>Sheet1!$D$1</c:f>
              <c:strCache>
                <c:ptCount val="1"/>
                <c:pt idx="0">
                  <c:v>Average for 2024</c:v>
                </c:pt>
              </c:strCache>
            </c:strRef>
          </c:tx>
          <c:spPr>
            <a:ln w="28575" cap="rnd">
              <a:solidFill>
                <a:schemeClr val="tx2"/>
              </a:solidFill>
              <a:prstDash val="dash"/>
              <a:round/>
            </a:ln>
            <a:effectLst/>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Sheet1!$D$2:$D$13</c:f>
              <c:numCache>
                <c:formatCode>General</c:formatCode>
                <c:ptCount val="12"/>
                <c:pt idx="0">
                  <c:v>71</c:v>
                </c:pt>
                <c:pt idx="1">
                  <c:v>71</c:v>
                </c:pt>
                <c:pt idx="2">
                  <c:v>71</c:v>
                </c:pt>
                <c:pt idx="3">
                  <c:v>71</c:v>
                </c:pt>
                <c:pt idx="4">
                  <c:v>71</c:v>
                </c:pt>
                <c:pt idx="5">
                  <c:v>71</c:v>
                </c:pt>
                <c:pt idx="6">
                  <c:v>71</c:v>
                </c:pt>
                <c:pt idx="7">
                  <c:v>71</c:v>
                </c:pt>
                <c:pt idx="8">
                  <c:v>71</c:v>
                </c:pt>
                <c:pt idx="9">
                  <c:v>71</c:v>
                </c:pt>
                <c:pt idx="10">
                  <c:v>71</c:v>
                </c:pt>
                <c:pt idx="11">
                  <c:v>71</c:v>
                </c:pt>
              </c:numCache>
            </c:numRef>
          </c:val>
          <c:smooth val="0"/>
          <c:extLst>
            <c:ext xmlns:c16="http://schemas.microsoft.com/office/drawing/2014/chart" uri="{C3380CC4-5D6E-409C-BE32-E72D297353CC}">
              <c16:uniqueId val="{00000004-F929-48CD-AD43-1333F5317BA3}"/>
            </c:ext>
          </c:extLst>
        </c:ser>
        <c:ser>
          <c:idx val="3"/>
          <c:order val="3"/>
          <c:tx>
            <c:strRef>
              <c:f>Sheet1!$E$1</c:f>
              <c:strCache>
                <c:ptCount val="1"/>
                <c:pt idx="0">
                  <c:v>Average for 2023</c:v>
                </c:pt>
              </c:strCache>
            </c:strRef>
          </c:tx>
          <c:spPr>
            <a:ln w="28575" cap="rnd">
              <a:solidFill>
                <a:schemeClr val="accent4"/>
              </a:solidFill>
              <a:prstDash val="dash"/>
              <a:round/>
            </a:ln>
            <a:effectLst/>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Sheet1!$E$2:$E$13</c:f>
              <c:numCache>
                <c:formatCode>General</c:formatCode>
                <c:ptCount val="12"/>
                <c:pt idx="0">
                  <c:v>70</c:v>
                </c:pt>
                <c:pt idx="1">
                  <c:v>70</c:v>
                </c:pt>
                <c:pt idx="2">
                  <c:v>70</c:v>
                </c:pt>
                <c:pt idx="3">
                  <c:v>70</c:v>
                </c:pt>
                <c:pt idx="4">
                  <c:v>70</c:v>
                </c:pt>
                <c:pt idx="5">
                  <c:v>70</c:v>
                </c:pt>
                <c:pt idx="6">
                  <c:v>70</c:v>
                </c:pt>
                <c:pt idx="7">
                  <c:v>70</c:v>
                </c:pt>
                <c:pt idx="8">
                  <c:v>70</c:v>
                </c:pt>
                <c:pt idx="9">
                  <c:v>70</c:v>
                </c:pt>
                <c:pt idx="10">
                  <c:v>70</c:v>
                </c:pt>
                <c:pt idx="11">
                  <c:v>70</c:v>
                </c:pt>
              </c:numCache>
            </c:numRef>
          </c:val>
          <c:smooth val="0"/>
          <c:extLst>
            <c:ext xmlns:c16="http://schemas.microsoft.com/office/drawing/2014/chart" uri="{C3380CC4-5D6E-409C-BE32-E72D297353CC}">
              <c16:uniqueId val="{00000005-F929-48CD-AD43-1333F5317BA3}"/>
            </c:ext>
          </c:extLst>
        </c:ser>
        <c:dLbls>
          <c:showLegendKey val="0"/>
          <c:showVal val="0"/>
          <c:showCatName val="0"/>
          <c:showSerName val="0"/>
          <c:showPercent val="0"/>
          <c:showBubbleSize val="0"/>
        </c:dLbls>
        <c:smooth val="0"/>
        <c:axId val="757769568"/>
        <c:axId val="757772928"/>
      </c:lineChart>
      <c:catAx>
        <c:axId val="757769568"/>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757772928"/>
        <c:crosses val="autoZero"/>
        <c:auto val="1"/>
        <c:lblAlgn val="ctr"/>
        <c:lblOffset val="100"/>
        <c:noMultiLvlLbl val="0"/>
      </c:catAx>
      <c:valAx>
        <c:axId val="757772928"/>
        <c:scaling>
          <c:orientation val="minMax"/>
          <c:max val="80"/>
          <c:min val="5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a:solidFill>
                      <a:schemeClr val="tx1">
                        <a:lumMod val="95000"/>
                        <a:lumOff val="5000"/>
                      </a:schemeClr>
                    </a:solidFill>
                  </a:rPr>
                  <a:t>Occupancy rate (%)</a:t>
                </a:r>
              </a:p>
            </c:rich>
          </c:tx>
          <c:layout>
            <c:manualLayout>
              <c:xMode val="edge"/>
              <c:yMode val="edge"/>
              <c:x val="2.340760581308254E-2"/>
              <c:y val="0.313832412739452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757769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474642537405"/>
          <c:y val="0.14318337702243983"/>
          <c:w val="0.73210062893081762"/>
          <c:h val="0.73396302180630968"/>
        </c:manualLayout>
      </c:layout>
      <c:lineChart>
        <c:grouping val="standard"/>
        <c:varyColors val="0"/>
        <c:ser>
          <c:idx val="1"/>
          <c:order val="0"/>
          <c:tx>
            <c:strRef>
              <c:f>'Figure 24'!$B$4</c:f>
              <c:strCache>
                <c:ptCount val="1"/>
                <c:pt idx="0">
                  <c:v>ADR ($)</c:v>
                </c:pt>
              </c:strCache>
            </c:strRef>
          </c:tx>
          <c:spPr>
            <a:ln w="28575" cap="rnd">
              <a:solidFill>
                <a:schemeClr val="tx2"/>
              </a:solidFill>
              <a:round/>
            </a:ln>
            <a:effectLst/>
          </c:spPr>
          <c:marker>
            <c:symbol val="none"/>
          </c:marker>
          <c:cat>
            <c:numRef>
              <c:f>'Figure 24'!$A$23:$A$94</c:f>
              <c:numCache>
                <c:formatCode>mmm\-yy</c:formatCode>
                <c:ptCount val="7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pt idx="65">
                  <c:v>45444</c:v>
                </c:pt>
                <c:pt idx="66">
                  <c:v>45474</c:v>
                </c:pt>
                <c:pt idx="67">
                  <c:v>45505</c:v>
                </c:pt>
                <c:pt idx="68">
                  <c:v>45536</c:v>
                </c:pt>
                <c:pt idx="69">
                  <c:v>45566</c:v>
                </c:pt>
                <c:pt idx="70">
                  <c:v>45597</c:v>
                </c:pt>
                <c:pt idx="71">
                  <c:v>45627</c:v>
                </c:pt>
              </c:numCache>
            </c:numRef>
          </c:cat>
          <c:val>
            <c:numRef>
              <c:f>'Figure 24'!$B$23:$B$94</c:f>
              <c:numCache>
                <c:formatCode>0</c:formatCode>
                <c:ptCount val="72"/>
                <c:pt idx="0">
                  <c:v>201.87656628085693</c:v>
                </c:pt>
                <c:pt idx="1">
                  <c:v>196.45916874692321</c:v>
                </c:pt>
                <c:pt idx="2">
                  <c:v>193.96429340609876</c:v>
                </c:pt>
                <c:pt idx="3">
                  <c:v>188.79596153567977</c:v>
                </c:pt>
                <c:pt idx="4">
                  <c:v>179.65707034482008</c:v>
                </c:pt>
                <c:pt idx="5">
                  <c:v>174.55841540646736</c:v>
                </c:pt>
                <c:pt idx="6">
                  <c:v>175.68</c:v>
                </c:pt>
                <c:pt idx="7">
                  <c:v>179.23</c:v>
                </c:pt>
                <c:pt idx="8">
                  <c:v>180.07</c:v>
                </c:pt>
                <c:pt idx="9">
                  <c:v>191.02</c:v>
                </c:pt>
                <c:pt idx="10">
                  <c:v>193.06</c:v>
                </c:pt>
                <c:pt idx="11">
                  <c:v>200.01</c:v>
                </c:pt>
                <c:pt idx="12">
                  <c:v>197.45</c:v>
                </c:pt>
                <c:pt idx="13">
                  <c:v>185.59</c:v>
                </c:pt>
                <c:pt idx="14">
                  <c:v>172.7</c:v>
                </c:pt>
                <c:pt idx="15">
                  <c:v>119.21</c:v>
                </c:pt>
                <c:pt idx="16">
                  <c:v>118.17</c:v>
                </c:pt>
                <c:pt idx="17">
                  <c:v>131.68</c:v>
                </c:pt>
                <c:pt idx="18">
                  <c:v>144.44</c:v>
                </c:pt>
                <c:pt idx="19">
                  <c:v>141.38</c:v>
                </c:pt>
                <c:pt idx="20">
                  <c:v>148.74</c:v>
                </c:pt>
                <c:pt idx="21">
                  <c:v>144.44</c:v>
                </c:pt>
                <c:pt idx="22">
                  <c:v>141.38</c:v>
                </c:pt>
                <c:pt idx="23">
                  <c:v>148.74</c:v>
                </c:pt>
                <c:pt idx="24">
                  <c:v>199.35</c:v>
                </c:pt>
                <c:pt idx="25">
                  <c:v>168.7</c:v>
                </c:pt>
                <c:pt idx="26">
                  <c:v>172.68</c:v>
                </c:pt>
                <c:pt idx="27">
                  <c:v>191.83</c:v>
                </c:pt>
                <c:pt idx="28">
                  <c:v>180.19</c:v>
                </c:pt>
                <c:pt idx="29">
                  <c:v>186.11</c:v>
                </c:pt>
                <c:pt idx="30">
                  <c:v>179.67</c:v>
                </c:pt>
                <c:pt idx="31">
                  <c:v>164.06</c:v>
                </c:pt>
                <c:pt idx="32">
                  <c:v>170.79</c:v>
                </c:pt>
                <c:pt idx="33">
                  <c:v>177.7</c:v>
                </c:pt>
                <c:pt idx="34">
                  <c:v>183.94</c:v>
                </c:pt>
                <c:pt idx="35">
                  <c:v>225.75</c:v>
                </c:pt>
                <c:pt idx="36">
                  <c:v>233.03</c:v>
                </c:pt>
                <c:pt idx="37">
                  <c:v>192.81</c:v>
                </c:pt>
                <c:pt idx="38">
                  <c:v>200.1</c:v>
                </c:pt>
                <c:pt idx="39">
                  <c:v>234.21</c:v>
                </c:pt>
                <c:pt idx="40">
                  <c:v>211.72</c:v>
                </c:pt>
                <c:pt idx="41">
                  <c:v>220.28</c:v>
                </c:pt>
                <c:pt idx="42">
                  <c:v>231.8</c:v>
                </c:pt>
                <c:pt idx="43">
                  <c:v>220.44</c:v>
                </c:pt>
                <c:pt idx="44">
                  <c:v>238.87</c:v>
                </c:pt>
                <c:pt idx="45">
                  <c:v>241.88</c:v>
                </c:pt>
                <c:pt idx="46">
                  <c:v>238.14</c:v>
                </c:pt>
                <c:pt idx="47">
                  <c:v>264.91000000000003</c:v>
                </c:pt>
                <c:pt idx="48">
                  <c:v>262.2</c:v>
                </c:pt>
                <c:pt idx="49">
                  <c:v>234.85</c:v>
                </c:pt>
                <c:pt idx="50">
                  <c:v>237.14</c:v>
                </c:pt>
                <c:pt idx="51">
                  <c:v>238.03</c:v>
                </c:pt>
                <c:pt idx="52">
                  <c:v>221.71</c:v>
                </c:pt>
                <c:pt idx="53">
                  <c:v>221.78</c:v>
                </c:pt>
                <c:pt idx="54">
                  <c:v>228.43</c:v>
                </c:pt>
                <c:pt idx="55">
                  <c:v>229.57</c:v>
                </c:pt>
                <c:pt idx="56">
                  <c:v>238.17</c:v>
                </c:pt>
                <c:pt idx="57">
                  <c:v>236</c:v>
                </c:pt>
                <c:pt idx="58">
                  <c:v>242.29</c:v>
                </c:pt>
                <c:pt idx="59">
                  <c:v>242.29</c:v>
                </c:pt>
                <c:pt idx="60">
                  <c:v>257.44684319460492</c:v>
                </c:pt>
                <c:pt idx="61">
                  <c:v>251.9953082600428</c:v>
                </c:pt>
                <c:pt idx="62">
                  <c:v>247.74074355203649</c:v>
                </c:pt>
                <c:pt idx="63">
                  <c:v>228.70155835069531</c:v>
                </c:pt>
                <c:pt idx="64">
                  <c:v>221.53456579988335</c:v>
                </c:pt>
                <c:pt idx="65">
                  <c:v>221.21934081124499</c:v>
                </c:pt>
                <c:pt idx="66">
                  <c:v>226.41646024653906</c:v>
                </c:pt>
                <c:pt idx="67">
                  <c:v>229.38732522640549</c:v>
                </c:pt>
                <c:pt idx="68">
                  <c:v>233.64557020882626</c:v>
                </c:pt>
                <c:pt idx="69">
                  <c:v>247.45284808817982</c:v>
                </c:pt>
                <c:pt idx="70">
                  <c:v>251.61043542911111</c:v>
                </c:pt>
                <c:pt idx="71">
                  <c:v>267.12383570643448</c:v>
                </c:pt>
              </c:numCache>
            </c:numRef>
          </c:val>
          <c:smooth val="1"/>
          <c:extLst>
            <c:ext xmlns:c16="http://schemas.microsoft.com/office/drawing/2014/chart" uri="{C3380CC4-5D6E-409C-BE32-E72D297353CC}">
              <c16:uniqueId val="{00000000-F9EC-4EE6-B05E-62AE99B97AC7}"/>
            </c:ext>
          </c:extLst>
        </c:ser>
        <c:dLbls>
          <c:showLegendKey val="0"/>
          <c:showVal val="0"/>
          <c:showCatName val="0"/>
          <c:showSerName val="0"/>
          <c:showPercent val="0"/>
          <c:showBubbleSize val="0"/>
        </c:dLbls>
        <c:marker val="1"/>
        <c:smooth val="0"/>
        <c:axId val="1260150447"/>
        <c:axId val="1260134639"/>
      </c:lineChart>
      <c:lineChart>
        <c:grouping val="standard"/>
        <c:varyColors val="0"/>
        <c:ser>
          <c:idx val="2"/>
          <c:order val="1"/>
          <c:tx>
            <c:strRef>
              <c:f>'Figure 24'!$C$4</c:f>
              <c:strCache>
                <c:ptCount val="1"/>
                <c:pt idx="0">
                  <c:v>RevPAR ($)</c:v>
                </c:pt>
              </c:strCache>
            </c:strRef>
          </c:tx>
          <c:spPr>
            <a:ln w="28575" cap="rnd">
              <a:solidFill>
                <a:schemeClr val="accent4"/>
              </a:solidFill>
              <a:round/>
            </a:ln>
            <a:effectLst/>
          </c:spPr>
          <c:marker>
            <c:symbol val="none"/>
          </c:marker>
          <c:cat>
            <c:numRef>
              <c:f>'Figure 24'!$A$23:$A$94</c:f>
              <c:numCache>
                <c:formatCode>mmm\-yy</c:formatCode>
                <c:ptCount val="7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pt idx="65">
                  <c:v>45444</c:v>
                </c:pt>
                <c:pt idx="66">
                  <c:v>45474</c:v>
                </c:pt>
                <c:pt idx="67">
                  <c:v>45505</c:v>
                </c:pt>
                <c:pt idx="68">
                  <c:v>45536</c:v>
                </c:pt>
                <c:pt idx="69">
                  <c:v>45566</c:v>
                </c:pt>
                <c:pt idx="70">
                  <c:v>45597</c:v>
                </c:pt>
                <c:pt idx="71">
                  <c:v>45627</c:v>
                </c:pt>
              </c:numCache>
            </c:numRef>
          </c:cat>
          <c:val>
            <c:numRef>
              <c:f>'Figure 24'!$C$23:$C$94</c:f>
              <c:numCache>
                <c:formatCode>0</c:formatCode>
                <c:ptCount val="72"/>
                <c:pt idx="0">
                  <c:v>143.51352737322992</c:v>
                </c:pt>
                <c:pt idx="1">
                  <c:v>140.36200675722594</c:v>
                </c:pt>
                <c:pt idx="2">
                  <c:v>147.78364428410526</c:v>
                </c:pt>
                <c:pt idx="3">
                  <c:v>142.07953756429484</c:v>
                </c:pt>
                <c:pt idx="4">
                  <c:v>131.18271072706128</c:v>
                </c:pt>
                <c:pt idx="5">
                  <c:v>123.28935314605427</c:v>
                </c:pt>
                <c:pt idx="6">
                  <c:v>131.36000000000001</c:v>
                </c:pt>
                <c:pt idx="7">
                  <c:v>134.86000000000001</c:v>
                </c:pt>
                <c:pt idx="8">
                  <c:v>132.5</c:v>
                </c:pt>
                <c:pt idx="9">
                  <c:v>149.30000000000001</c:v>
                </c:pt>
                <c:pt idx="10">
                  <c:v>150.41999999999999</c:v>
                </c:pt>
                <c:pt idx="11">
                  <c:v>141.74</c:v>
                </c:pt>
                <c:pt idx="12">
                  <c:v>138.34</c:v>
                </c:pt>
                <c:pt idx="13">
                  <c:v>131.49</c:v>
                </c:pt>
                <c:pt idx="14">
                  <c:v>78.849999999999994</c:v>
                </c:pt>
                <c:pt idx="15">
                  <c:v>23.58</c:v>
                </c:pt>
                <c:pt idx="16">
                  <c:v>27.25</c:v>
                </c:pt>
                <c:pt idx="17">
                  <c:v>42.27</c:v>
                </c:pt>
                <c:pt idx="18">
                  <c:v>59.95</c:v>
                </c:pt>
                <c:pt idx="19">
                  <c:v>56.14</c:v>
                </c:pt>
                <c:pt idx="20">
                  <c:v>65.03</c:v>
                </c:pt>
                <c:pt idx="21">
                  <c:v>59.95</c:v>
                </c:pt>
                <c:pt idx="22">
                  <c:v>56.14</c:v>
                </c:pt>
                <c:pt idx="23">
                  <c:v>65.03</c:v>
                </c:pt>
                <c:pt idx="24">
                  <c:v>94.88</c:v>
                </c:pt>
                <c:pt idx="25">
                  <c:v>80.08</c:v>
                </c:pt>
                <c:pt idx="26">
                  <c:v>96.22</c:v>
                </c:pt>
                <c:pt idx="27">
                  <c:v>117.42</c:v>
                </c:pt>
                <c:pt idx="28">
                  <c:v>106.16</c:v>
                </c:pt>
                <c:pt idx="29">
                  <c:v>94.34</c:v>
                </c:pt>
                <c:pt idx="30">
                  <c:v>69.17</c:v>
                </c:pt>
                <c:pt idx="31">
                  <c:v>51.57</c:v>
                </c:pt>
                <c:pt idx="32">
                  <c:v>64.87</c:v>
                </c:pt>
                <c:pt idx="33">
                  <c:v>67.87</c:v>
                </c:pt>
                <c:pt idx="34">
                  <c:v>84.06</c:v>
                </c:pt>
                <c:pt idx="35">
                  <c:v>120.36</c:v>
                </c:pt>
                <c:pt idx="36">
                  <c:v>118</c:v>
                </c:pt>
                <c:pt idx="37">
                  <c:v>101.1</c:v>
                </c:pt>
                <c:pt idx="38">
                  <c:v>123.01</c:v>
                </c:pt>
                <c:pt idx="39">
                  <c:v>162.22999999999999</c:v>
                </c:pt>
                <c:pt idx="40">
                  <c:v>139.19999999999999</c:v>
                </c:pt>
                <c:pt idx="41">
                  <c:v>146.33000000000001</c:v>
                </c:pt>
                <c:pt idx="42">
                  <c:v>159.66</c:v>
                </c:pt>
                <c:pt idx="43">
                  <c:v>145.41999999999999</c:v>
                </c:pt>
                <c:pt idx="44">
                  <c:v>171.26</c:v>
                </c:pt>
                <c:pt idx="45">
                  <c:v>175.25</c:v>
                </c:pt>
                <c:pt idx="46">
                  <c:v>176.11</c:v>
                </c:pt>
                <c:pt idx="47">
                  <c:v>176.15</c:v>
                </c:pt>
                <c:pt idx="48">
                  <c:v>170.51</c:v>
                </c:pt>
                <c:pt idx="49">
                  <c:v>165.53</c:v>
                </c:pt>
                <c:pt idx="50">
                  <c:v>172.86</c:v>
                </c:pt>
                <c:pt idx="51">
                  <c:v>157.66999999999999</c:v>
                </c:pt>
                <c:pt idx="52">
                  <c:v>146.81</c:v>
                </c:pt>
                <c:pt idx="53">
                  <c:v>146.66</c:v>
                </c:pt>
                <c:pt idx="54">
                  <c:v>161.63</c:v>
                </c:pt>
                <c:pt idx="55">
                  <c:v>162.44</c:v>
                </c:pt>
                <c:pt idx="56">
                  <c:v>171.84</c:v>
                </c:pt>
                <c:pt idx="57">
                  <c:v>171.5</c:v>
                </c:pt>
                <c:pt idx="58">
                  <c:v>183.01</c:v>
                </c:pt>
                <c:pt idx="59">
                  <c:v>183.01</c:v>
                </c:pt>
                <c:pt idx="60">
                  <c:v>174.34917027524637</c:v>
                </c:pt>
                <c:pt idx="61">
                  <c:v>186.10931805891769</c:v>
                </c:pt>
                <c:pt idx="62">
                  <c:v>182.28955940664167</c:v>
                </c:pt>
                <c:pt idx="63">
                  <c:v>156.80894074399407</c:v>
                </c:pt>
                <c:pt idx="64">
                  <c:v>148.96565080872077</c:v>
                </c:pt>
                <c:pt idx="65">
                  <c:v>148.50464169397429</c:v>
                </c:pt>
                <c:pt idx="66">
                  <c:v>161.12012768363192</c:v>
                </c:pt>
                <c:pt idx="67">
                  <c:v>165.57022255968269</c:v>
                </c:pt>
                <c:pt idx="68">
                  <c:v>169.87797965594615</c:v>
                </c:pt>
                <c:pt idx="69">
                  <c:v>187.55737414810633</c:v>
                </c:pt>
                <c:pt idx="70">
                  <c:v>194.53875405956924</c:v>
                </c:pt>
                <c:pt idx="71">
                  <c:v>186.69085341564468</c:v>
                </c:pt>
              </c:numCache>
            </c:numRef>
          </c:val>
          <c:smooth val="1"/>
          <c:extLst>
            <c:ext xmlns:c16="http://schemas.microsoft.com/office/drawing/2014/chart" uri="{C3380CC4-5D6E-409C-BE32-E72D297353CC}">
              <c16:uniqueId val="{00000001-F9EC-4EE6-B05E-62AE99B97AC7}"/>
            </c:ext>
          </c:extLst>
        </c:ser>
        <c:ser>
          <c:idx val="0"/>
          <c:order val="2"/>
          <c:tx>
            <c:strRef>
              <c:f>'Figure 24'!$D$2:$D$3</c:f>
              <c:strCache>
                <c:ptCount val="2"/>
                <c:pt idx="0">
                  <c:v>year average</c:v>
                </c:pt>
                <c:pt idx="1">
                  <c:v>ADR</c:v>
                </c:pt>
              </c:strCache>
            </c:strRef>
          </c:tx>
          <c:spPr>
            <a:ln w="19050" cap="rnd">
              <a:solidFill>
                <a:schemeClr val="tx2"/>
              </a:solidFill>
              <a:prstDash val="sysDot"/>
              <a:round/>
            </a:ln>
            <a:effectLst/>
          </c:spPr>
          <c:marker>
            <c:symbol val="none"/>
          </c:marker>
          <c:dPt>
            <c:idx val="48"/>
            <c:marker>
              <c:symbol val="none"/>
            </c:marker>
            <c:bubble3D val="0"/>
            <c:spPr>
              <a:ln w="19050" cap="rnd">
                <a:noFill/>
                <a:prstDash val="sysDot"/>
                <a:round/>
              </a:ln>
              <a:effectLst/>
            </c:spPr>
            <c:extLst>
              <c:ext xmlns:c16="http://schemas.microsoft.com/office/drawing/2014/chart" uri="{C3380CC4-5D6E-409C-BE32-E72D297353CC}">
                <c16:uniqueId val="{00000003-F9EC-4EE6-B05E-62AE99B97AC7}"/>
              </c:ext>
            </c:extLst>
          </c:dPt>
          <c:dPt>
            <c:idx val="60"/>
            <c:marker>
              <c:symbol val="none"/>
            </c:marker>
            <c:bubble3D val="0"/>
            <c:spPr>
              <a:ln w="19050" cap="rnd">
                <a:noFill/>
                <a:prstDash val="sysDot"/>
                <a:round/>
              </a:ln>
              <a:effectLst/>
            </c:spPr>
            <c:extLst>
              <c:ext xmlns:c16="http://schemas.microsoft.com/office/drawing/2014/chart" uri="{C3380CC4-5D6E-409C-BE32-E72D297353CC}">
                <c16:uniqueId val="{00000005-F9EC-4EE6-B05E-62AE99B97AC7}"/>
              </c:ext>
            </c:extLst>
          </c:dPt>
          <c:cat>
            <c:numRef>
              <c:f>'Figure 24'!$A$23:$A$94</c:f>
              <c:numCache>
                <c:formatCode>mmm\-yy</c:formatCode>
                <c:ptCount val="7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pt idx="65">
                  <c:v>45444</c:v>
                </c:pt>
                <c:pt idx="66">
                  <c:v>45474</c:v>
                </c:pt>
                <c:pt idx="67">
                  <c:v>45505</c:v>
                </c:pt>
                <c:pt idx="68">
                  <c:v>45536</c:v>
                </c:pt>
                <c:pt idx="69">
                  <c:v>45566</c:v>
                </c:pt>
                <c:pt idx="70">
                  <c:v>45597</c:v>
                </c:pt>
                <c:pt idx="71">
                  <c:v>45627</c:v>
                </c:pt>
              </c:numCache>
            </c:numRef>
          </c:cat>
          <c:val>
            <c:numRef>
              <c:f>'Figure 24'!$D$23:$D$94</c:f>
              <c:numCache>
                <c:formatCode>0</c:formatCode>
                <c:ptCount val="72"/>
                <c:pt idx="0">
                  <c:v>187.86512297673721</c:v>
                </c:pt>
                <c:pt idx="1">
                  <c:v>187.86512297673721</c:v>
                </c:pt>
                <c:pt idx="2">
                  <c:v>187.86512297673721</c:v>
                </c:pt>
                <c:pt idx="3">
                  <c:v>187.86512297673721</c:v>
                </c:pt>
                <c:pt idx="4">
                  <c:v>187.86512297673721</c:v>
                </c:pt>
                <c:pt idx="5">
                  <c:v>187.86512297673721</c:v>
                </c:pt>
                <c:pt idx="6">
                  <c:v>187.86512297673721</c:v>
                </c:pt>
                <c:pt idx="7">
                  <c:v>187.86512297673721</c:v>
                </c:pt>
                <c:pt idx="8">
                  <c:v>187.86512297673721</c:v>
                </c:pt>
                <c:pt idx="9">
                  <c:v>187.86512297673721</c:v>
                </c:pt>
                <c:pt idx="10">
                  <c:v>187.86512297673721</c:v>
                </c:pt>
                <c:pt idx="11">
                  <c:v>187.86512297673721</c:v>
                </c:pt>
                <c:pt idx="12" formatCode="General">
                  <c:v>#N/A</c:v>
                </c:pt>
                <c:pt idx="13" formatCode="General">
                  <c:v>#N/A</c:v>
                </c:pt>
                <c:pt idx="14" formatCode="General">
                  <c:v>#N/A</c:v>
                </c:pt>
                <c:pt idx="15" formatCode="General">
                  <c:v>#N/A</c:v>
                </c:pt>
                <c:pt idx="16" formatCode="General">
                  <c:v>#N/A</c:v>
                </c:pt>
                <c:pt idx="17" formatCode="General">
                  <c:v>#N/A</c:v>
                </c:pt>
                <c:pt idx="18" formatCode="General">
                  <c:v>#N/A</c:v>
                </c:pt>
                <c:pt idx="19" formatCode="General">
                  <c:v>#N/A</c:v>
                </c:pt>
                <c:pt idx="20" formatCode="General">
                  <c:v>#N/A</c:v>
                </c:pt>
                <c:pt idx="21" formatCode="General">
                  <c:v>#N/A</c:v>
                </c:pt>
                <c:pt idx="22" formatCode="General">
                  <c:v>#N/A</c:v>
                </c:pt>
                <c:pt idx="23" formatCode="General">
                  <c:v>#N/A</c:v>
                </c:pt>
                <c:pt idx="24" formatCode="General">
                  <c:v>#N/A</c:v>
                </c:pt>
                <c:pt idx="25" formatCode="General">
                  <c:v>#N/A</c:v>
                </c:pt>
                <c:pt idx="26" formatCode="General">
                  <c:v>#N/A</c:v>
                </c:pt>
                <c:pt idx="27" formatCode="General">
                  <c:v>#N/A</c:v>
                </c:pt>
                <c:pt idx="28" formatCode="General">
                  <c:v>#N/A</c:v>
                </c:pt>
                <c:pt idx="29" formatCode="General">
                  <c:v>#N/A</c:v>
                </c:pt>
                <c:pt idx="30" formatCode="General">
                  <c:v>#N/A</c:v>
                </c:pt>
                <c:pt idx="31" formatCode="General">
                  <c:v>#N/A</c:v>
                </c:pt>
                <c:pt idx="32" formatCode="General">
                  <c:v>#N/A</c:v>
                </c:pt>
                <c:pt idx="33" formatCode="General">
                  <c:v>#N/A</c:v>
                </c:pt>
                <c:pt idx="34" formatCode="General">
                  <c:v>#N/A</c:v>
                </c:pt>
                <c:pt idx="35" formatCode="General">
                  <c:v>#N/A</c:v>
                </c:pt>
                <c:pt idx="36">
                  <c:v>226.83272727272725</c:v>
                </c:pt>
                <c:pt idx="37">
                  <c:v>226.83272727272725</c:v>
                </c:pt>
                <c:pt idx="38">
                  <c:v>226.83272727272725</c:v>
                </c:pt>
                <c:pt idx="39">
                  <c:v>226.83272727272725</c:v>
                </c:pt>
                <c:pt idx="40">
                  <c:v>226.83272727272725</c:v>
                </c:pt>
                <c:pt idx="41">
                  <c:v>226.83272727272725</c:v>
                </c:pt>
                <c:pt idx="42">
                  <c:v>226.83272727272725</c:v>
                </c:pt>
                <c:pt idx="43">
                  <c:v>226.83272727272725</c:v>
                </c:pt>
                <c:pt idx="44">
                  <c:v>226.83272727272725</c:v>
                </c:pt>
                <c:pt idx="45">
                  <c:v>226.83272727272725</c:v>
                </c:pt>
                <c:pt idx="46">
                  <c:v>226.83272727272725</c:v>
                </c:pt>
                <c:pt idx="47">
                  <c:v>226.83272727272725</c:v>
                </c:pt>
                <c:pt idx="48">
                  <c:v>237</c:v>
                </c:pt>
                <c:pt idx="49">
                  <c:v>237</c:v>
                </c:pt>
                <c:pt idx="50">
                  <c:v>237</c:v>
                </c:pt>
                <c:pt idx="51">
                  <c:v>237</c:v>
                </c:pt>
                <c:pt idx="52">
                  <c:v>237</c:v>
                </c:pt>
                <c:pt idx="53">
                  <c:v>237</c:v>
                </c:pt>
                <c:pt idx="54">
                  <c:v>237</c:v>
                </c:pt>
                <c:pt idx="55">
                  <c:v>237</c:v>
                </c:pt>
                <c:pt idx="56">
                  <c:v>237</c:v>
                </c:pt>
                <c:pt idx="57">
                  <c:v>237</c:v>
                </c:pt>
                <c:pt idx="58">
                  <c:v>237</c:v>
                </c:pt>
                <c:pt idx="59">
                  <c:v>237</c:v>
                </c:pt>
                <c:pt idx="60">
                  <c:v>241</c:v>
                </c:pt>
                <c:pt idx="61">
                  <c:v>241</c:v>
                </c:pt>
                <c:pt idx="62">
                  <c:v>241</c:v>
                </c:pt>
                <c:pt idx="63">
                  <c:v>241</c:v>
                </c:pt>
                <c:pt idx="64">
                  <c:v>241</c:v>
                </c:pt>
                <c:pt idx="65">
                  <c:v>241</c:v>
                </c:pt>
                <c:pt idx="66">
                  <c:v>241</c:v>
                </c:pt>
                <c:pt idx="67">
                  <c:v>241</c:v>
                </c:pt>
                <c:pt idx="68">
                  <c:v>241</c:v>
                </c:pt>
                <c:pt idx="69">
                  <c:v>241</c:v>
                </c:pt>
                <c:pt idx="70">
                  <c:v>241</c:v>
                </c:pt>
                <c:pt idx="71">
                  <c:v>241</c:v>
                </c:pt>
              </c:numCache>
            </c:numRef>
          </c:val>
          <c:smooth val="0"/>
          <c:extLst>
            <c:ext xmlns:c16="http://schemas.microsoft.com/office/drawing/2014/chart" uri="{C3380CC4-5D6E-409C-BE32-E72D297353CC}">
              <c16:uniqueId val="{00000006-F9EC-4EE6-B05E-62AE99B97AC7}"/>
            </c:ext>
          </c:extLst>
        </c:ser>
        <c:ser>
          <c:idx val="3"/>
          <c:order val="3"/>
          <c:tx>
            <c:strRef>
              <c:f>'Figure 24'!$E$2:$E$3</c:f>
              <c:strCache>
                <c:ptCount val="2"/>
                <c:pt idx="0">
                  <c:v>year average</c:v>
                </c:pt>
                <c:pt idx="1">
                  <c:v>RevPAR</c:v>
                </c:pt>
              </c:strCache>
            </c:strRef>
          </c:tx>
          <c:spPr>
            <a:ln w="19050" cap="rnd">
              <a:solidFill>
                <a:schemeClr val="accent4"/>
              </a:solidFill>
              <a:prstDash val="sysDot"/>
              <a:round/>
            </a:ln>
            <a:effectLst/>
          </c:spPr>
          <c:marker>
            <c:symbol val="none"/>
          </c:marker>
          <c:dPt>
            <c:idx val="48"/>
            <c:marker>
              <c:symbol val="none"/>
            </c:marker>
            <c:bubble3D val="0"/>
            <c:spPr>
              <a:ln w="19050" cap="rnd">
                <a:noFill/>
                <a:prstDash val="sysDot"/>
                <a:round/>
              </a:ln>
              <a:effectLst/>
            </c:spPr>
            <c:extLst>
              <c:ext xmlns:c16="http://schemas.microsoft.com/office/drawing/2014/chart" uri="{C3380CC4-5D6E-409C-BE32-E72D297353CC}">
                <c16:uniqueId val="{00000008-F9EC-4EE6-B05E-62AE99B97AC7}"/>
              </c:ext>
            </c:extLst>
          </c:dPt>
          <c:dPt>
            <c:idx val="59"/>
            <c:marker>
              <c:symbol val="none"/>
            </c:marker>
            <c:bubble3D val="0"/>
            <c:spPr>
              <a:ln w="28575" cap="rnd">
                <a:solidFill>
                  <a:schemeClr val="accent4"/>
                </a:solidFill>
                <a:prstDash val="sysDot"/>
                <a:round/>
              </a:ln>
              <a:effectLst/>
            </c:spPr>
            <c:extLst>
              <c:ext xmlns:c16="http://schemas.microsoft.com/office/drawing/2014/chart" uri="{C3380CC4-5D6E-409C-BE32-E72D297353CC}">
                <c16:uniqueId val="{0000000A-F9EC-4EE6-B05E-62AE99B97AC7}"/>
              </c:ext>
            </c:extLst>
          </c:dPt>
          <c:dPt>
            <c:idx val="60"/>
            <c:marker>
              <c:symbol val="none"/>
            </c:marker>
            <c:bubble3D val="0"/>
            <c:spPr>
              <a:ln w="19050" cap="rnd">
                <a:noFill/>
                <a:prstDash val="sysDot"/>
                <a:round/>
              </a:ln>
              <a:effectLst/>
            </c:spPr>
            <c:extLst>
              <c:ext xmlns:c16="http://schemas.microsoft.com/office/drawing/2014/chart" uri="{C3380CC4-5D6E-409C-BE32-E72D297353CC}">
                <c16:uniqueId val="{0000000C-F9EC-4EE6-B05E-62AE99B97AC7}"/>
              </c:ext>
            </c:extLst>
          </c:dPt>
          <c:cat>
            <c:numRef>
              <c:f>'Figure 24'!$A$23:$A$94</c:f>
              <c:numCache>
                <c:formatCode>mmm\-yy</c:formatCode>
                <c:ptCount val="7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pt idx="65">
                  <c:v>45444</c:v>
                </c:pt>
                <c:pt idx="66">
                  <c:v>45474</c:v>
                </c:pt>
                <c:pt idx="67">
                  <c:v>45505</c:v>
                </c:pt>
                <c:pt idx="68">
                  <c:v>45536</c:v>
                </c:pt>
                <c:pt idx="69">
                  <c:v>45566</c:v>
                </c:pt>
                <c:pt idx="70">
                  <c:v>45597</c:v>
                </c:pt>
                <c:pt idx="71">
                  <c:v>45627</c:v>
                </c:pt>
              </c:numCache>
            </c:numRef>
          </c:cat>
          <c:val>
            <c:numRef>
              <c:f>'Figure 24'!$E$23:$E$94</c:f>
              <c:numCache>
                <c:formatCode>0</c:formatCode>
                <c:ptCount val="72"/>
                <c:pt idx="0">
                  <c:v>139.0325649876643</c:v>
                </c:pt>
                <c:pt idx="1">
                  <c:v>139.0325649876643</c:v>
                </c:pt>
                <c:pt idx="2">
                  <c:v>139.0325649876643</c:v>
                </c:pt>
                <c:pt idx="3">
                  <c:v>139.0325649876643</c:v>
                </c:pt>
                <c:pt idx="4">
                  <c:v>139.0325649876643</c:v>
                </c:pt>
                <c:pt idx="5">
                  <c:v>139.0325649876643</c:v>
                </c:pt>
                <c:pt idx="6">
                  <c:v>139.0325649876643</c:v>
                </c:pt>
                <c:pt idx="7">
                  <c:v>139.0325649876643</c:v>
                </c:pt>
                <c:pt idx="8">
                  <c:v>139.0325649876643</c:v>
                </c:pt>
                <c:pt idx="9">
                  <c:v>139.0325649876643</c:v>
                </c:pt>
                <c:pt idx="10">
                  <c:v>139.0325649876643</c:v>
                </c:pt>
                <c:pt idx="11">
                  <c:v>139.0325649876643</c:v>
                </c:pt>
                <c:pt idx="12" formatCode="General">
                  <c:v>#N/A</c:v>
                </c:pt>
                <c:pt idx="13" formatCode="General">
                  <c:v>#N/A</c:v>
                </c:pt>
                <c:pt idx="14" formatCode="General">
                  <c:v>#N/A</c:v>
                </c:pt>
                <c:pt idx="15" formatCode="General">
                  <c:v>#N/A</c:v>
                </c:pt>
                <c:pt idx="16" formatCode="General">
                  <c:v>#N/A</c:v>
                </c:pt>
                <c:pt idx="17" formatCode="General">
                  <c:v>#N/A</c:v>
                </c:pt>
                <c:pt idx="18" formatCode="General">
                  <c:v>#N/A</c:v>
                </c:pt>
                <c:pt idx="19" formatCode="General">
                  <c:v>#N/A</c:v>
                </c:pt>
                <c:pt idx="20" formatCode="General">
                  <c:v>#N/A</c:v>
                </c:pt>
                <c:pt idx="21" formatCode="General">
                  <c:v>#N/A</c:v>
                </c:pt>
                <c:pt idx="22" formatCode="General">
                  <c:v>#N/A</c:v>
                </c:pt>
                <c:pt idx="23" formatCode="General">
                  <c:v>#N/A</c:v>
                </c:pt>
                <c:pt idx="24" formatCode="General">
                  <c:v>#N/A</c:v>
                </c:pt>
                <c:pt idx="25" formatCode="General">
                  <c:v>#N/A</c:v>
                </c:pt>
                <c:pt idx="26" formatCode="General">
                  <c:v>#N/A</c:v>
                </c:pt>
                <c:pt idx="27" formatCode="General">
                  <c:v>#N/A</c:v>
                </c:pt>
                <c:pt idx="28" formatCode="General">
                  <c:v>#N/A</c:v>
                </c:pt>
                <c:pt idx="29" formatCode="General">
                  <c:v>#N/A</c:v>
                </c:pt>
                <c:pt idx="30" formatCode="General">
                  <c:v>#N/A</c:v>
                </c:pt>
                <c:pt idx="31" formatCode="General">
                  <c:v>#N/A</c:v>
                </c:pt>
                <c:pt idx="32" formatCode="General">
                  <c:v>#N/A</c:v>
                </c:pt>
                <c:pt idx="33" formatCode="General">
                  <c:v>#N/A</c:v>
                </c:pt>
                <c:pt idx="34" formatCode="General">
                  <c:v>#N/A</c:v>
                </c:pt>
                <c:pt idx="35" formatCode="General">
                  <c:v>#N/A</c:v>
                </c:pt>
                <c:pt idx="36">
                  <c:v>152.33818181818185</c:v>
                </c:pt>
                <c:pt idx="37">
                  <c:v>152.33818181818185</c:v>
                </c:pt>
                <c:pt idx="38">
                  <c:v>152.33818181818185</c:v>
                </c:pt>
                <c:pt idx="39">
                  <c:v>152.33818181818185</c:v>
                </c:pt>
                <c:pt idx="40">
                  <c:v>152.33818181818185</c:v>
                </c:pt>
                <c:pt idx="41">
                  <c:v>152.33818181818185</c:v>
                </c:pt>
                <c:pt idx="42">
                  <c:v>152.33818181818185</c:v>
                </c:pt>
                <c:pt idx="43">
                  <c:v>152.33818181818185</c:v>
                </c:pt>
                <c:pt idx="44">
                  <c:v>152.33818181818185</c:v>
                </c:pt>
                <c:pt idx="45">
                  <c:v>152.33818181818185</c:v>
                </c:pt>
                <c:pt idx="46">
                  <c:v>152.33818181818185</c:v>
                </c:pt>
                <c:pt idx="47">
                  <c:v>152.33818181818185</c:v>
                </c:pt>
                <c:pt idx="48">
                  <c:v>166.12249999999997</c:v>
                </c:pt>
                <c:pt idx="49">
                  <c:v>166.12249999999997</c:v>
                </c:pt>
                <c:pt idx="50">
                  <c:v>166.12249999999997</c:v>
                </c:pt>
                <c:pt idx="51">
                  <c:v>166.12249999999997</c:v>
                </c:pt>
                <c:pt idx="52">
                  <c:v>166.12249999999997</c:v>
                </c:pt>
                <c:pt idx="53">
                  <c:v>166.12249999999997</c:v>
                </c:pt>
                <c:pt idx="54">
                  <c:v>166.12249999999997</c:v>
                </c:pt>
                <c:pt idx="55">
                  <c:v>166.12249999999997</c:v>
                </c:pt>
                <c:pt idx="56">
                  <c:v>166.12249999999997</c:v>
                </c:pt>
                <c:pt idx="57">
                  <c:v>166.12249999999997</c:v>
                </c:pt>
                <c:pt idx="58">
                  <c:v>166.12249999999997</c:v>
                </c:pt>
                <c:pt idx="59">
                  <c:v>166.12249999999997</c:v>
                </c:pt>
                <c:pt idx="60">
                  <c:v>172</c:v>
                </c:pt>
                <c:pt idx="61">
                  <c:v>172</c:v>
                </c:pt>
                <c:pt idx="62">
                  <c:v>172</c:v>
                </c:pt>
                <c:pt idx="63">
                  <c:v>172</c:v>
                </c:pt>
                <c:pt idx="64">
                  <c:v>172</c:v>
                </c:pt>
                <c:pt idx="65">
                  <c:v>172</c:v>
                </c:pt>
                <c:pt idx="66">
                  <c:v>172</c:v>
                </c:pt>
                <c:pt idx="67">
                  <c:v>172</c:v>
                </c:pt>
                <c:pt idx="68">
                  <c:v>172</c:v>
                </c:pt>
                <c:pt idx="69">
                  <c:v>172</c:v>
                </c:pt>
                <c:pt idx="70">
                  <c:v>172</c:v>
                </c:pt>
                <c:pt idx="71">
                  <c:v>172</c:v>
                </c:pt>
              </c:numCache>
            </c:numRef>
          </c:val>
          <c:smooth val="0"/>
          <c:extLst>
            <c:ext xmlns:c16="http://schemas.microsoft.com/office/drawing/2014/chart" uri="{C3380CC4-5D6E-409C-BE32-E72D297353CC}">
              <c16:uniqueId val="{0000000D-F9EC-4EE6-B05E-62AE99B97AC7}"/>
            </c:ext>
          </c:extLst>
        </c:ser>
        <c:dLbls>
          <c:showLegendKey val="0"/>
          <c:showVal val="0"/>
          <c:showCatName val="0"/>
          <c:showSerName val="0"/>
          <c:showPercent val="0"/>
          <c:showBubbleSize val="0"/>
        </c:dLbls>
        <c:marker val="1"/>
        <c:smooth val="0"/>
        <c:axId val="741560543"/>
        <c:axId val="741559711"/>
      </c:lineChart>
      <c:dateAx>
        <c:axId val="1260150447"/>
        <c:scaling>
          <c:orientation val="minMax"/>
          <c:max val="45658"/>
        </c:scaling>
        <c:delete val="0"/>
        <c:axPos val="b"/>
        <c:numFmt formatCode="yyyy" sourceLinked="0"/>
        <c:majorTickMark val="in"/>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mn-lt"/>
                <a:ea typeface="+mn-ea"/>
                <a:cs typeface="+mn-cs"/>
              </a:defRPr>
            </a:pPr>
            <a:endParaRPr lang="en-US"/>
          </a:p>
        </c:txPr>
        <c:crossAx val="1260134639"/>
        <c:crosses val="autoZero"/>
        <c:auto val="1"/>
        <c:lblOffset val="100"/>
        <c:baseTimeUnit val="months"/>
        <c:majorUnit val="12"/>
        <c:majorTimeUnit val="months"/>
      </c:dateAx>
      <c:valAx>
        <c:axId val="12601346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en-US"/>
          </a:p>
        </c:txPr>
        <c:crossAx val="1260150447"/>
        <c:crosses val="autoZero"/>
        <c:crossBetween val="between"/>
      </c:valAx>
      <c:valAx>
        <c:axId val="741559711"/>
        <c:scaling>
          <c:orientation val="minMax"/>
          <c:max val="3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en-US"/>
          </a:p>
        </c:txPr>
        <c:crossAx val="741560543"/>
        <c:crosses val="max"/>
        <c:crossBetween val="between"/>
      </c:valAx>
      <c:dateAx>
        <c:axId val="741560543"/>
        <c:scaling>
          <c:orientation val="minMax"/>
        </c:scaling>
        <c:delete val="1"/>
        <c:axPos val="b"/>
        <c:numFmt formatCode="mmm\-yy" sourceLinked="1"/>
        <c:majorTickMark val="out"/>
        <c:minorTickMark val="none"/>
        <c:tickLblPos val="nextTo"/>
        <c:crossAx val="741559711"/>
        <c:crosses val="autoZero"/>
        <c:auto val="1"/>
        <c:lblOffset val="100"/>
        <c:baseTimeUnit val="months"/>
      </c:dateAx>
      <c:spPr>
        <a:noFill/>
        <a:ln>
          <a:noFill/>
        </a:ln>
        <a:effectLst/>
      </c:spPr>
    </c:plotArea>
    <c:legend>
      <c:legendPos val="b"/>
      <c:layout>
        <c:manualLayout>
          <c:xMode val="edge"/>
          <c:yMode val="edge"/>
          <c:x val="0.12184765365867728"/>
          <c:y val="1.9529691562892765E-2"/>
          <c:w val="0.76984953803851441"/>
          <c:h val="0.129256962575627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587668121795657"/>
          <c:y val="1.4692378328741965E-2"/>
          <c:w val="0.61879228826966581"/>
          <c:h val="0.87851832570515465"/>
        </c:manualLayout>
      </c:layout>
      <c:barChart>
        <c:barDir val="col"/>
        <c:grouping val="stacked"/>
        <c:varyColors val="0"/>
        <c:ser>
          <c:idx val="0"/>
          <c:order val="0"/>
          <c:tx>
            <c:strRef>
              <c:f>Sheet1!$B$1</c:f>
              <c:strCache>
                <c:ptCount val="1"/>
                <c:pt idx="0">
                  <c:v>Other commercial accommodation</c:v>
                </c:pt>
              </c:strCache>
            </c:strRef>
          </c:tx>
          <c:spPr>
            <a:solidFill>
              <a:schemeClr val="accent5"/>
            </a:solidFill>
            <a:ln>
              <a:noFill/>
            </a:ln>
            <a:effectLst/>
          </c:spPr>
          <c:invertIfNegative val="0"/>
          <c:dLbls>
            <c:delete val="1"/>
          </c:dLbls>
          <c:cat>
            <c:strRef>
              <c:f>Sheet1!$A$2:$A$3</c:f>
              <c:strCache>
                <c:ptCount val="2"/>
                <c:pt idx="0">
                  <c:v>Domestic overnight</c:v>
                </c:pt>
                <c:pt idx="1">
                  <c:v>International</c:v>
                </c:pt>
              </c:strCache>
            </c:strRef>
          </c:cat>
          <c:val>
            <c:numRef>
              <c:f>Sheet1!$B$2:$B$3</c:f>
              <c:numCache>
                <c:formatCode>#,##0.0</c:formatCode>
                <c:ptCount val="2"/>
                <c:pt idx="0">
                  <c:v>2.2862322443399998</c:v>
                </c:pt>
                <c:pt idx="1">
                  <c:v>3.8268022761260001</c:v>
                </c:pt>
              </c:numCache>
            </c:numRef>
          </c:val>
          <c:extLst>
            <c:ext xmlns:c16="http://schemas.microsoft.com/office/drawing/2014/chart" uri="{C3380CC4-5D6E-409C-BE32-E72D297353CC}">
              <c16:uniqueId val="{00000000-196F-4AB4-A18A-9FDE9DD33B32}"/>
            </c:ext>
          </c:extLst>
        </c:ser>
        <c:ser>
          <c:idx val="1"/>
          <c:order val="1"/>
          <c:tx>
            <c:strRef>
              <c:f>Sheet1!$C$1</c:f>
              <c:strCache>
                <c:ptCount val="1"/>
                <c:pt idx="0">
                  <c:v>Guest house or B&amp;B</c:v>
                </c:pt>
              </c:strCache>
            </c:strRef>
          </c:tx>
          <c:spPr>
            <a:solidFill>
              <a:schemeClr val="accent4">
                <a:lumMod val="60000"/>
                <a:lumOff val="40000"/>
              </a:schemeClr>
            </a:solidFill>
            <a:ln>
              <a:noFill/>
            </a:ln>
            <a:effectLst/>
          </c:spPr>
          <c:invertIfNegative val="0"/>
          <c:dLbls>
            <c:delete val="1"/>
          </c:dLbls>
          <c:cat>
            <c:strRef>
              <c:f>Sheet1!$A$2:$A$3</c:f>
              <c:strCache>
                <c:ptCount val="2"/>
                <c:pt idx="0">
                  <c:v>Domestic overnight</c:v>
                </c:pt>
                <c:pt idx="1">
                  <c:v>International</c:v>
                </c:pt>
              </c:strCache>
            </c:strRef>
          </c:cat>
          <c:val>
            <c:numRef>
              <c:f>Sheet1!$C$2:$C$3</c:f>
              <c:numCache>
                <c:formatCode>#,##0.0</c:formatCode>
                <c:ptCount val="2"/>
                <c:pt idx="0">
                  <c:v>1.25372200569</c:v>
                </c:pt>
                <c:pt idx="1">
                  <c:v>0.30659633764099997</c:v>
                </c:pt>
              </c:numCache>
            </c:numRef>
          </c:val>
          <c:extLst>
            <c:ext xmlns:c16="http://schemas.microsoft.com/office/drawing/2014/chart" uri="{C3380CC4-5D6E-409C-BE32-E72D297353CC}">
              <c16:uniqueId val="{00000001-196F-4AB4-A18A-9FDE9DD33B32}"/>
            </c:ext>
          </c:extLst>
        </c:ser>
        <c:ser>
          <c:idx val="2"/>
          <c:order val="2"/>
          <c:tx>
            <c:strRef>
              <c:f>Sheet1!$D$1</c:f>
              <c:strCache>
                <c:ptCount val="1"/>
                <c:pt idx="0">
                  <c:v>Backpacker or hostel</c:v>
                </c:pt>
              </c:strCache>
            </c:strRef>
          </c:tx>
          <c:spPr>
            <a:solidFill>
              <a:schemeClr val="accent4"/>
            </a:solidFill>
            <a:ln>
              <a:noFill/>
            </a:ln>
            <a:effectLst/>
          </c:spPr>
          <c:invertIfNegative val="0"/>
          <c:dLbls>
            <c:delete val="1"/>
          </c:dLbls>
          <c:cat>
            <c:strRef>
              <c:f>Sheet1!$A$2:$A$3</c:f>
              <c:strCache>
                <c:ptCount val="2"/>
                <c:pt idx="0">
                  <c:v>Domestic overnight</c:v>
                </c:pt>
                <c:pt idx="1">
                  <c:v>International</c:v>
                </c:pt>
              </c:strCache>
            </c:strRef>
          </c:cat>
          <c:val>
            <c:numRef>
              <c:f>Sheet1!$D$2:$D$3</c:f>
              <c:numCache>
                <c:formatCode>#,##0.0</c:formatCode>
                <c:ptCount val="2"/>
                <c:pt idx="0">
                  <c:v>0.80645843862400002</c:v>
                </c:pt>
                <c:pt idx="1">
                  <c:v>7.6607156745559992</c:v>
                </c:pt>
              </c:numCache>
            </c:numRef>
          </c:val>
          <c:extLst>
            <c:ext xmlns:c16="http://schemas.microsoft.com/office/drawing/2014/chart" uri="{C3380CC4-5D6E-409C-BE32-E72D297353CC}">
              <c16:uniqueId val="{00000002-196F-4AB4-A18A-9FDE9DD33B32}"/>
            </c:ext>
          </c:extLst>
        </c:ser>
        <c:ser>
          <c:idx val="3"/>
          <c:order val="3"/>
          <c:tx>
            <c:strRef>
              <c:f>Sheet1!$E$1</c:f>
              <c:strCache>
                <c:ptCount val="1"/>
                <c:pt idx="0">
                  <c:v>Caravan park or camping ground</c:v>
                </c:pt>
              </c:strCache>
            </c:strRef>
          </c:tx>
          <c:spPr>
            <a:solidFill>
              <a:schemeClr val="tx2">
                <a:lumMod val="25000"/>
                <a:lumOff val="7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196F-4AB4-A18A-9FDE9DD33B3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Domestic overnight</c:v>
                </c:pt>
                <c:pt idx="1">
                  <c:v>International</c:v>
                </c:pt>
              </c:strCache>
            </c:strRef>
          </c:cat>
          <c:val>
            <c:numRef>
              <c:f>Sheet1!$E$2:$E$3</c:f>
              <c:numCache>
                <c:formatCode>#,##0.0</c:formatCode>
                <c:ptCount val="2"/>
                <c:pt idx="0">
                  <c:v>31.257168379522998</c:v>
                </c:pt>
                <c:pt idx="1">
                  <c:v>1.8055257180440001</c:v>
                </c:pt>
              </c:numCache>
            </c:numRef>
          </c:val>
          <c:extLst>
            <c:ext xmlns:c16="http://schemas.microsoft.com/office/drawing/2014/chart" uri="{C3380CC4-5D6E-409C-BE32-E72D297353CC}">
              <c16:uniqueId val="{00000004-196F-4AB4-A18A-9FDE9DD33B32}"/>
            </c:ext>
          </c:extLst>
        </c:ser>
        <c:ser>
          <c:idx val="4"/>
          <c:order val="4"/>
          <c:tx>
            <c:strRef>
              <c:f>Sheet1!$F$1</c:f>
              <c:strCache>
                <c:ptCount val="1"/>
                <c:pt idx="0">
                  <c:v>Rented house or apartment</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Domestic overnight</c:v>
                </c:pt>
                <c:pt idx="1">
                  <c:v>International</c:v>
                </c:pt>
              </c:strCache>
            </c:strRef>
          </c:cat>
          <c:val>
            <c:numRef>
              <c:f>Sheet1!$F$2:$F$3</c:f>
              <c:numCache>
                <c:formatCode>#,##0.0</c:formatCode>
                <c:ptCount val="2"/>
                <c:pt idx="0">
                  <c:v>28.382525550137</c:v>
                </c:pt>
                <c:pt idx="1">
                  <c:v>32.238342905294999</c:v>
                </c:pt>
              </c:numCache>
            </c:numRef>
          </c:val>
          <c:extLst>
            <c:ext xmlns:c16="http://schemas.microsoft.com/office/drawing/2014/chart" uri="{C3380CC4-5D6E-409C-BE32-E72D297353CC}">
              <c16:uniqueId val="{00000005-196F-4AB4-A18A-9FDE9DD33B32}"/>
            </c:ext>
          </c:extLst>
        </c:ser>
        <c:ser>
          <c:idx val="5"/>
          <c:order val="5"/>
          <c:tx>
            <c:strRef>
              <c:f>Sheet1!$G$1</c:f>
              <c:strCache>
                <c:ptCount val="1"/>
                <c:pt idx="0">
                  <c:v>Hotel/ resort/ motel or motor inn</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Domestic overnight</c:v>
                </c:pt>
                <c:pt idx="1">
                  <c:v>International</c:v>
                </c:pt>
              </c:strCache>
            </c:strRef>
          </c:cat>
          <c:val>
            <c:numRef>
              <c:f>Sheet1!$G$2:$G$3</c:f>
              <c:numCache>
                <c:formatCode>#,##0.0</c:formatCode>
                <c:ptCount val="2"/>
                <c:pt idx="0">
                  <c:v>70.321102144353006</c:v>
                </c:pt>
                <c:pt idx="1">
                  <c:v>27.409079156032998</c:v>
                </c:pt>
              </c:numCache>
            </c:numRef>
          </c:val>
          <c:extLst>
            <c:ext xmlns:c16="http://schemas.microsoft.com/office/drawing/2014/chart" uri="{C3380CC4-5D6E-409C-BE32-E72D297353CC}">
              <c16:uniqueId val="{00000006-196F-4AB4-A18A-9FDE9DD33B32}"/>
            </c:ext>
          </c:extLst>
        </c:ser>
        <c:ser>
          <c:idx val="6"/>
          <c:order val="6"/>
          <c:tx>
            <c:strRef>
              <c:f>Sheet1!$H$1</c:f>
              <c:strCache>
                <c:ptCount val="1"/>
                <c:pt idx="0">
                  <c:v>Total</c:v>
                </c:pt>
              </c:strCache>
            </c:strRef>
          </c:tx>
          <c:spPr>
            <a:solidFill>
              <a:schemeClr val="bg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95000"/>
                        <a:lumOff val="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Domestic overnight</c:v>
                </c:pt>
                <c:pt idx="1">
                  <c:v>International</c:v>
                </c:pt>
              </c:strCache>
            </c:strRef>
          </c:cat>
          <c:val>
            <c:numRef>
              <c:f>Sheet1!$H$2:$H$3</c:f>
              <c:numCache>
                <c:formatCode>#,##0.0</c:formatCode>
                <c:ptCount val="2"/>
                <c:pt idx="0">
                  <c:v>134.30720876266702</c:v>
                </c:pt>
                <c:pt idx="1">
                  <c:v>73.247062067694998</c:v>
                </c:pt>
              </c:numCache>
            </c:numRef>
          </c:val>
          <c:extLst>
            <c:ext xmlns:c16="http://schemas.microsoft.com/office/drawing/2014/chart" uri="{C3380CC4-5D6E-409C-BE32-E72D297353CC}">
              <c16:uniqueId val="{00000007-196F-4AB4-A18A-9FDE9DD33B32}"/>
            </c:ext>
          </c:extLst>
        </c:ser>
        <c:dLbls>
          <c:dLblPos val="ctr"/>
          <c:showLegendKey val="0"/>
          <c:showVal val="1"/>
          <c:showCatName val="0"/>
          <c:showSerName val="0"/>
          <c:showPercent val="0"/>
          <c:showBubbleSize val="0"/>
        </c:dLbls>
        <c:gapWidth val="150"/>
        <c:overlap val="100"/>
        <c:axId val="1393023007"/>
        <c:axId val="1087678303"/>
      </c:barChart>
      <c:catAx>
        <c:axId val="1393023007"/>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85000"/>
                    <a:lumOff val="15000"/>
                  </a:schemeClr>
                </a:solidFill>
                <a:latin typeface="+mn-lt"/>
                <a:ea typeface="+mn-ea"/>
                <a:cs typeface="+mn-cs"/>
              </a:defRPr>
            </a:pPr>
            <a:endParaRPr lang="en-US"/>
          </a:p>
        </c:txPr>
        <c:crossAx val="1087678303"/>
        <c:crosses val="autoZero"/>
        <c:auto val="1"/>
        <c:lblAlgn val="ctr"/>
        <c:lblOffset val="100"/>
        <c:noMultiLvlLbl val="0"/>
      </c:catAx>
      <c:valAx>
        <c:axId val="1087678303"/>
        <c:scaling>
          <c:orientation val="minMax"/>
          <c:max val="150"/>
          <c:min val="0"/>
        </c:scaling>
        <c:delete val="1"/>
        <c:axPos val="l"/>
        <c:numFmt formatCode="#,##0.0" sourceLinked="1"/>
        <c:majorTickMark val="out"/>
        <c:minorTickMark val="none"/>
        <c:tickLblPos val="nextTo"/>
        <c:crossAx val="1393023007"/>
        <c:crosses val="autoZero"/>
        <c:crossBetween val="between"/>
      </c:valAx>
      <c:spPr>
        <a:noFill/>
        <a:ln>
          <a:noFill/>
        </a:ln>
        <a:effectLst/>
      </c:spPr>
    </c:plotArea>
    <c:legend>
      <c:legendPos val="l"/>
      <c:layout>
        <c:manualLayout>
          <c:xMode val="edge"/>
          <c:yMode val="edge"/>
          <c:x val="1.2038523274478331E-2"/>
          <c:y val="1.6904911679428498E-2"/>
          <c:w val="0.33303895299604402"/>
          <c:h val="0.8713743013528267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85000"/>
                  <a:lumOff val="1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Business</c:v>
                </c:pt>
              </c:strCache>
            </c:strRef>
          </c:tx>
          <c:spPr>
            <a:ln w="28575" cap="rnd">
              <a:solidFill>
                <a:schemeClr val="bg2"/>
              </a:solidFill>
              <a:prstDash val="sysDash"/>
              <a:round/>
            </a:ln>
            <a:effectLst/>
          </c:spPr>
          <c:marker>
            <c:symbol val="none"/>
          </c:marker>
          <c:cat>
            <c:numRef>
              <c:f>Sheet1!$A$2:$A$88</c:f>
              <c:numCache>
                <c:formatCode>mmm\ yyyy</c:formatCode>
                <c:ptCount val="8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numCache>
            </c:numRef>
          </c:cat>
          <c:val>
            <c:numRef>
              <c:f>Sheet1!$B$2:$B$88</c:f>
              <c:numCache>
                <c:formatCode>0.0</c:formatCode>
                <c:ptCount val="87"/>
                <c:pt idx="0">
                  <c:v>132.94240667106135</c:v>
                </c:pt>
                <c:pt idx="1">
                  <c:v>132.97478382615915</c:v>
                </c:pt>
                <c:pt idx="2">
                  <c:v>133.15761157461151</c:v>
                </c:pt>
                <c:pt idx="3">
                  <c:v>133.48149267743892</c:v>
                </c:pt>
                <c:pt idx="4">
                  <c:v>133.75629538280216</c:v>
                </c:pt>
                <c:pt idx="5">
                  <c:v>133.91263439456171</c:v>
                </c:pt>
                <c:pt idx="6">
                  <c:v>134.00104962463865</c:v>
                </c:pt>
                <c:pt idx="7">
                  <c:v>134.00201339496144</c:v>
                </c:pt>
                <c:pt idx="8">
                  <c:v>133.77837793514306</c:v>
                </c:pt>
                <c:pt idx="9">
                  <c:v>133.40293966910116</c:v>
                </c:pt>
                <c:pt idx="10">
                  <c:v>132.8779620144154</c:v>
                </c:pt>
                <c:pt idx="11">
                  <c:v>132.05672093966444</c:v>
                </c:pt>
                <c:pt idx="12">
                  <c:v>130.78136190145176</c:v>
                </c:pt>
                <c:pt idx="13">
                  <c:v>129.32628509922856</c:v>
                </c:pt>
                <c:pt idx="14">
                  <c:v>127.3671333018489</c:v>
                </c:pt>
                <c:pt idx="15">
                  <c:v>124.78004877389004</c:v>
                </c:pt>
                <c:pt idx="16">
                  <c:v>121.90105368287787</c:v>
                </c:pt>
                <c:pt idx="17">
                  <c:v>119.33868549340269</c:v>
                </c:pt>
                <c:pt idx="18">
                  <c:v>117.57373866458153</c:v>
                </c:pt>
                <c:pt idx="19">
                  <c:v>117.01133918861692</c:v>
                </c:pt>
                <c:pt idx="20">
                  <c:v>117.50249037007809</c:v>
                </c:pt>
                <c:pt idx="21">
                  <c:v>117.94791588594259</c:v>
                </c:pt>
                <c:pt idx="22">
                  <c:v>118.29967554300904</c:v>
                </c:pt>
                <c:pt idx="23">
                  <c:v>119.16166744913637</c:v>
                </c:pt>
                <c:pt idx="24">
                  <c:v>120.9884310502607</c:v>
                </c:pt>
                <c:pt idx="25">
                  <c:v>123.34773541666627</c:v>
                </c:pt>
                <c:pt idx="26">
                  <c:v>126.20225148129752</c:v>
                </c:pt>
                <c:pt idx="27">
                  <c:v>129.22379167918282</c:v>
                </c:pt>
                <c:pt idx="28">
                  <c:v>131.82681477977758</c:v>
                </c:pt>
                <c:pt idx="29">
                  <c:v>133.75146278525216</c:v>
                </c:pt>
                <c:pt idx="30">
                  <c:v>134.39509966736858</c:v>
                </c:pt>
                <c:pt idx="31">
                  <c:v>133.06844859139568</c:v>
                </c:pt>
                <c:pt idx="32">
                  <c:v>129.61888037258004</c:v>
                </c:pt>
                <c:pt idx="33">
                  <c:v>124.57797146653498</c:v>
                </c:pt>
                <c:pt idx="34">
                  <c:v>118.43070280718928</c:v>
                </c:pt>
                <c:pt idx="35">
                  <c:v>111.76192828531684</c:v>
                </c:pt>
                <c:pt idx="36">
                  <c:v>106.54592315175329</c:v>
                </c:pt>
                <c:pt idx="37">
                  <c:v>103.38301404588105</c:v>
                </c:pt>
                <c:pt idx="38">
                  <c:v>101.2070849306573</c:v>
                </c:pt>
                <c:pt idx="39">
                  <c:v>98.379913611517509</c:v>
                </c:pt>
                <c:pt idx="40">
                  <c:v>94.024253353536224</c:v>
                </c:pt>
                <c:pt idx="41">
                  <c:v>88.310559348538916</c:v>
                </c:pt>
                <c:pt idx="42">
                  <c:v>82.018981550803176</c:v>
                </c:pt>
                <c:pt idx="43">
                  <c:v>76.276293321552714</c:v>
                </c:pt>
                <c:pt idx="44">
                  <c:v>72.430021018782199</c:v>
                </c:pt>
                <c:pt idx="45">
                  <c:v>71.102711302001836</c:v>
                </c:pt>
                <c:pt idx="46">
                  <c:v>71.944929768441213</c:v>
                </c:pt>
                <c:pt idx="47">
                  <c:v>73.934726373136556</c:v>
                </c:pt>
                <c:pt idx="48">
                  <c:v>75.57374833426185</c:v>
                </c:pt>
                <c:pt idx="49">
                  <c:v>76.117185790685838</c:v>
                </c:pt>
                <c:pt idx="50">
                  <c:v>75.649021845727191</c:v>
                </c:pt>
                <c:pt idx="51">
                  <c:v>75.186642496942014</c:v>
                </c:pt>
                <c:pt idx="52">
                  <c:v>75.829399623355215</c:v>
                </c:pt>
                <c:pt idx="53">
                  <c:v>78.728648090510575</c:v>
                </c:pt>
                <c:pt idx="54">
                  <c:v>84.018084809976813</c:v>
                </c:pt>
                <c:pt idx="55">
                  <c:v>90.660541837547257</c:v>
                </c:pt>
                <c:pt idx="56">
                  <c:v>96.237421637134091</c:v>
                </c:pt>
                <c:pt idx="57">
                  <c:v>99.511975181908213</c:v>
                </c:pt>
                <c:pt idx="58">
                  <c:v>100.81175610627872</c:v>
                </c:pt>
                <c:pt idx="59">
                  <c:v>100.61365290813931</c:v>
                </c:pt>
                <c:pt idx="60">
                  <c:v>99.798548119624769</c:v>
                </c:pt>
                <c:pt idx="61">
                  <c:v>99.163680567768509</c:v>
                </c:pt>
                <c:pt idx="62">
                  <c:v>99.103558813499731</c:v>
                </c:pt>
                <c:pt idx="63">
                  <c:v>99.249365069604025</c:v>
                </c:pt>
                <c:pt idx="64">
                  <c:v>98.848542902152388</c:v>
                </c:pt>
                <c:pt idx="65">
                  <c:v>97.735528376709539</c:v>
                </c:pt>
                <c:pt idx="66">
                  <c:v>95.919285857787742</c:v>
                </c:pt>
                <c:pt idx="67">
                  <c:v>93.993752555184784</c:v>
                </c:pt>
                <c:pt idx="68">
                  <c:v>92.62711218131065</c:v>
                </c:pt>
                <c:pt idx="69">
                  <c:v>91.785376451870604</c:v>
                </c:pt>
                <c:pt idx="70">
                  <c:v>91.356785598931282</c:v>
                </c:pt>
                <c:pt idx="71">
                  <c:v>91.551427126745807</c:v>
                </c:pt>
                <c:pt idx="72">
                  <c:v>92.728720703267655</c:v>
                </c:pt>
                <c:pt idx="73">
                  <c:v>94.683781109415037</c:v>
                </c:pt>
                <c:pt idx="74">
                  <c:v>97.333909309910965</c:v>
                </c:pt>
                <c:pt idx="75">
                  <c:v>100.3598165662152</c:v>
                </c:pt>
                <c:pt idx="76">
                  <c:v>104.08803644777834</c:v>
                </c:pt>
                <c:pt idx="77">
                  <c:v>108.32647761243769</c:v>
                </c:pt>
                <c:pt idx="78">
                  <c:v>112.20847914636622</c:v>
                </c:pt>
                <c:pt idx="79">
                  <c:v>114.00421761767069</c:v>
                </c:pt>
                <c:pt idx="80">
                  <c:v>112.61511366591336</c:v>
                </c:pt>
                <c:pt idx="81">
                  <c:v>108.18580547431399</c:v>
                </c:pt>
                <c:pt idx="82">
                  <c:v>102.09100184909499</c:v>
                </c:pt>
                <c:pt idx="83">
                  <c:v>96.101925813543659</c:v>
                </c:pt>
                <c:pt idx="84">
                  <c:v>91.734893051104777</c:v>
                </c:pt>
                <c:pt idx="85">
                  <c:v>89.613243941783622</c:v>
                </c:pt>
                <c:pt idx="86">
                  <c:v>89.081285715760757</c:v>
                </c:pt>
              </c:numCache>
            </c:numRef>
          </c:val>
          <c:smooth val="0"/>
          <c:extLst>
            <c:ext xmlns:c16="http://schemas.microsoft.com/office/drawing/2014/chart" uri="{C3380CC4-5D6E-409C-BE32-E72D297353CC}">
              <c16:uniqueId val="{00000000-FC62-47F0-A6E7-99E5E7CC2030}"/>
            </c:ext>
          </c:extLst>
        </c:ser>
        <c:ser>
          <c:idx val="1"/>
          <c:order val="1"/>
          <c:tx>
            <c:strRef>
              <c:f>Sheet1!$C$1</c:f>
              <c:strCache>
                <c:ptCount val="1"/>
                <c:pt idx="0">
                  <c:v>Economy</c:v>
                </c:pt>
              </c:strCache>
            </c:strRef>
          </c:tx>
          <c:spPr>
            <a:ln w="28575" cap="rnd">
              <a:solidFill>
                <a:schemeClr val="tx2"/>
              </a:solidFill>
              <a:round/>
            </a:ln>
            <a:effectLst/>
          </c:spPr>
          <c:marker>
            <c:symbol val="none"/>
          </c:marker>
          <c:cat>
            <c:numRef>
              <c:f>Sheet1!$A$2:$A$88</c:f>
              <c:numCache>
                <c:formatCode>mmm\ yyyy</c:formatCode>
                <c:ptCount val="8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numCache>
            </c:numRef>
          </c:cat>
          <c:val>
            <c:numRef>
              <c:f>Sheet1!$C$2:$C$88</c:f>
              <c:numCache>
                <c:formatCode>0.0</c:formatCode>
                <c:ptCount val="87"/>
                <c:pt idx="0">
                  <c:v>139.89028279752839</c:v>
                </c:pt>
                <c:pt idx="1">
                  <c:v>141.34172332593025</c:v>
                </c:pt>
                <c:pt idx="2">
                  <c:v>141.35404303544854</c:v>
                </c:pt>
                <c:pt idx="3">
                  <c:v>140.89044325659441</c:v>
                </c:pt>
                <c:pt idx="4">
                  <c:v>140.90530895410814</c:v>
                </c:pt>
                <c:pt idx="5">
                  <c:v>141.58964691236281</c:v>
                </c:pt>
                <c:pt idx="6">
                  <c:v>142.47929885933507</c:v>
                </c:pt>
                <c:pt idx="7">
                  <c:v>143.44159041465838</c:v>
                </c:pt>
                <c:pt idx="8">
                  <c:v>144.39278318642366</c:v>
                </c:pt>
                <c:pt idx="9">
                  <c:v>145.20694872155681</c:v>
                </c:pt>
                <c:pt idx="10">
                  <c:v>145.89968355336674</c:v>
                </c:pt>
                <c:pt idx="11">
                  <c:v>146.52487065445902</c:v>
                </c:pt>
                <c:pt idx="12">
                  <c:v>147.09548394450277</c:v>
                </c:pt>
                <c:pt idx="13">
                  <c:v>147.61332502493241</c:v>
                </c:pt>
                <c:pt idx="14">
                  <c:v>148.09766325642551</c:v>
                </c:pt>
                <c:pt idx="15">
                  <c:v>148.54197322475389</c:v>
                </c:pt>
                <c:pt idx="16">
                  <c:v>148.90686397797646</c:v>
                </c:pt>
                <c:pt idx="17">
                  <c:v>149.16559016274883</c:v>
                </c:pt>
                <c:pt idx="18">
                  <c:v>149.27941313835277</c:v>
                </c:pt>
                <c:pt idx="19">
                  <c:v>149.22683506157151</c:v>
                </c:pt>
                <c:pt idx="20">
                  <c:v>149.11252809693423</c:v>
                </c:pt>
                <c:pt idx="21">
                  <c:v>148.68211492664511</c:v>
                </c:pt>
                <c:pt idx="22">
                  <c:v>148.14362838784638</c:v>
                </c:pt>
                <c:pt idx="23">
                  <c:v>148.12430261942356</c:v>
                </c:pt>
                <c:pt idx="24">
                  <c:v>149.53941110420843</c:v>
                </c:pt>
                <c:pt idx="25">
                  <c:v>152.44366621470701</c:v>
                </c:pt>
                <c:pt idx="26">
                  <c:v>156.21170704884824</c:v>
                </c:pt>
                <c:pt idx="27">
                  <c:v>159.86781064352837</c:v>
                </c:pt>
                <c:pt idx="28">
                  <c:v>162.57948059881005</c:v>
                </c:pt>
                <c:pt idx="29">
                  <c:v>163.91537088669932</c:v>
                </c:pt>
                <c:pt idx="30">
                  <c:v>163.69868786148584</c:v>
                </c:pt>
                <c:pt idx="31">
                  <c:v>162.10844865730056</c:v>
                </c:pt>
                <c:pt idx="32">
                  <c:v>159.85070132850132</c:v>
                </c:pt>
                <c:pt idx="33">
                  <c:v>157.87200981135697</c:v>
                </c:pt>
                <c:pt idx="34">
                  <c:v>156.0250527258211</c:v>
                </c:pt>
                <c:pt idx="35">
                  <c:v>152.93292432554387</c:v>
                </c:pt>
                <c:pt idx="36">
                  <c:v>147.64286394289934</c:v>
                </c:pt>
                <c:pt idx="37">
                  <c:v>140.03693820798927</c:v>
                </c:pt>
                <c:pt idx="38">
                  <c:v>131.00156227600496</c:v>
                </c:pt>
                <c:pt idx="39">
                  <c:v>121.8001538277087</c:v>
                </c:pt>
                <c:pt idx="40">
                  <c:v>113.97090192648176</c:v>
                </c:pt>
                <c:pt idx="41">
                  <c:v>108.54062453682977</c:v>
                </c:pt>
                <c:pt idx="42">
                  <c:v>105.81579124498381</c:v>
                </c:pt>
                <c:pt idx="43">
                  <c:v>105.41490326905287</c:v>
                </c:pt>
                <c:pt idx="44">
                  <c:v>106.33493985168499</c:v>
                </c:pt>
                <c:pt idx="45">
                  <c:v>107.46019988233051</c:v>
                </c:pt>
                <c:pt idx="46">
                  <c:v>108.37194577461041</c:v>
                </c:pt>
                <c:pt idx="47">
                  <c:v>109.18992541597608</c:v>
                </c:pt>
                <c:pt idx="48">
                  <c:v>109.80230207553504</c:v>
                </c:pt>
                <c:pt idx="49">
                  <c:v>110.05898481878158</c:v>
                </c:pt>
                <c:pt idx="50">
                  <c:v>109.86910572362437</c:v>
                </c:pt>
                <c:pt idx="51">
                  <c:v>109.77475863917546</c:v>
                </c:pt>
                <c:pt idx="52">
                  <c:v>110.4835323827653</c:v>
                </c:pt>
                <c:pt idx="53">
                  <c:v>112.43765686825077</c:v>
                </c:pt>
                <c:pt idx="54">
                  <c:v>116.11826357917938</c:v>
                </c:pt>
                <c:pt idx="55">
                  <c:v>121.23305014823676</c:v>
                </c:pt>
                <c:pt idx="56">
                  <c:v>126.87065177221109</c:v>
                </c:pt>
                <c:pt idx="57">
                  <c:v>131.97692416674445</c:v>
                </c:pt>
                <c:pt idx="58">
                  <c:v>135.78016059383688</c:v>
                </c:pt>
                <c:pt idx="59">
                  <c:v>137.75501938532003</c:v>
                </c:pt>
                <c:pt idx="60">
                  <c:v>138.02420578579517</c:v>
                </c:pt>
                <c:pt idx="61">
                  <c:v>137.40866042220966</c:v>
                </c:pt>
                <c:pt idx="62">
                  <c:v>136.58093721743214</c:v>
                </c:pt>
                <c:pt idx="63">
                  <c:v>135.85457305772493</c:v>
                </c:pt>
                <c:pt idx="64">
                  <c:v>135.37170764676571</c:v>
                </c:pt>
                <c:pt idx="65">
                  <c:v>135.33063019831314</c:v>
                </c:pt>
                <c:pt idx="66">
                  <c:v>135.64538963766336</c:v>
                </c:pt>
                <c:pt idx="67">
                  <c:v>136.31711925432271</c:v>
                </c:pt>
                <c:pt idx="68">
                  <c:v>137.60470647856405</c:v>
                </c:pt>
                <c:pt idx="69">
                  <c:v>139.39748258431621</c:v>
                </c:pt>
                <c:pt idx="70">
                  <c:v>141.26471622939823</c:v>
                </c:pt>
                <c:pt idx="71">
                  <c:v>143.03611540837991</c:v>
                </c:pt>
                <c:pt idx="72">
                  <c:v>144.55264295626338</c:v>
                </c:pt>
                <c:pt idx="73">
                  <c:v>145.24923400506182</c:v>
                </c:pt>
                <c:pt idx="74">
                  <c:v>145.31464232715916</c:v>
                </c:pt>
                <c:pt idx="75">
                  <c:v>145.62141618994755</c:v>
                </c:pt>
                <c:pt idx="76">
                  <c:v>146.91864204619787</c:v>
                </c:pt>
                <c:pt idx="77">
                  <c:v>150.1878594147405</c:v>
                </c:pt>
                <c:pt idx="78">
                  <c:v>155.56131432407452</c:v>
                </c:pt>
                <c:pt idx="79">
                  <c:v>160.89957979644728</c:v>
                </c:pt>
                <c:pt idx="80">
                  <c:v>162.92903587370895</c:v>
                </c:pt>
                <c:pt idx="81">
                  <c:v>158.68030038323408</c:v>
                </c:pt>
                <c:pt idx="82">
                  <c:v>148.01312040230843</c:v>
                </c:pt>
                <c:pt idx="83">
                  <c:v>133.58601937314305</c:v>
                </c:pt>
                <c:pt idx="84">
                  <c:v>119.23404894311601</c:v>
                </c:pt>
                <c:pt idx="85">
                  <c:v>108.34215658383374</c:v>
                </c:pt>
                <c:pt idx="86">
                  <c:v>100.79177195088945</c:v>
                </c:pt>
              </c:numCache>
            </c:numRef>
          </c:val>
          <c:smooth val="0"/>
          <c:extLst>
            <c:ext xmlns:c16="http://schemas.microsoft.com/office/drawing/2014/chart" uri="{C3380CC4-5D6E-409C-BE32-E72D297353CC}">
              <c16:uniqueId val="{00000001-FC62-47F0-A6E7-99E5E7CC2030}"/>
            </c:ext>
          </c:extLst>
        </c:ser>
        <c:ser>
          <c:idx val="2"/>
          <c:order val="2"/>
          <c:tx>
            <c:strRef>
              <c:f>Sheet1!$D$1</c:f>
              <c:strCache>
                <c:ptCount val="1"/>
                <c:pt idx="0">
                  <c:v>Best discount</c:v>
                </c:pt>
              </c:strCache>
            </c:strRef>
          </c:tx>
          <c:spPr>
            <a:ln w="28575" cap="rnd">
              <a:solidFill>
                <a:schemeClr val="accent4"/>
              </a:solidFill>
              <a:prstDash val="sysDot"/>
              <a:round/>
            </a:ln>
            <a:effectLst/>
          </c:spPr>
          <c:marker>
            <c:symbol val="none"/>
          </c:marker>
          <c:cat>
            <c:numRef>
              <c:f>Sheet1!$A$2:$A$88</c:f>
              <c:numCache>
                <c:formatCode>mmm\ yyyy</c:formatCode>
                <c:ptCount val="8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pt idx="57">
                  <c:v>44835</c:v>
                </c:pt>
                <c:pt idx="58">
                  <c:v>44866</c:v>
                </c:pt>
                <c:pt idx="59">
                  <c:v>44896</c:v>
                </c:pt>
                <c:pt idx="60">
                  <c:v>44927</c:v>
                </c:pt>
                <c:pt idx="61">
                  <c:v>44958</c:v>
                </c:pt>
                <c:pt idx="62">
                  <c:v>44986</c:v>
                </c:pt>
                <c:pt idx="63">
                  <c:v>45017</c:v>
                </c:pt>
                <c:pt idx="64">
                  <c:v>45047</c:v>
                </c:pt>
                <c:pt idx="65">
                  <c:v>45078</c:v>
                </c:pt>
                <c:pt idx="66">
                  <c:v>45108</c:v>
                </c:pt>
                <c:pt idx="67">
                  <c:v>45139</c:v>
                </c:pt>
                <c:pt idx="68">
                  <c:v>45170</c:v>
                </c:pt>
                <c:pt idx="69">
                  <c:v>45200</c:v>
                </c:pt>
                <c:pt idx="70">
                  <c:v>45231</c:v>
                </c:pt>
                <c:pt idx="71">
                  <c:v>45261</c:v>
                </c:pt>
                <c:pt idx="72">
                  <c:v>45292</c:v>
                </c:pt>
                <c:pt idx="73">
                  <c:v>45323</c:v>
                </c:pt>
                <c:pt idx="74">
                  <c:v>45352</c:v>
                </c:pt>
                <c:pt idx="75">
                  <c:v>45383</c:v>
                </c:pt>
                <c:pt idx="76">
                  <c:v>45413</c:v>
                </c:pt>
                <c:pt idx="77">
                  <c:v>45444</c:v>
                </c:pt>
                <c:pt idx="78">
                  <c:v>45474</c:v>
                </c:pt>
                <c:pt idx="79">
                  <c:v>45505</c:v>
                </c:pt>
                <c:pt idx="80">
                  <c:v>45536</c:v>
                </c:pt>
                <c:pt idx="81">
                  <c:v>45566</c:v>
                </c:pt>
                <c:pt idx="82">
                  <c:v>45597</c:v>
                </c:pt>
                <c:pt idx="83">
                  <c:v>45627</c:v>
                </c:pt>
                <c:pt idx="84">
                  <c:v>45658</c:v>
                </c:pt>
                <c:pt idx="85">
                  <c:v>45689</c:v>
                </c:pt>
                <c:pt idx="86">
                  <c:v>45717</c:v>
                </c:pt>
              </c:numCache>
            </c:numRef>
          </c:cat>
          <c:val>
            <c:numRef>
              <c:f>Sheet1!$D$2:$D$88</c:f>
              <c:numCache>
                <c:formatCode>0.0</c:formatCode>
                <c:ptCount val="87"/>
                <c:pt idx="0">
                  <c:v>98.672408226466573</c:v>
                </c:pt>
                <c:pt idx="1">
                  <c:v>97.860334215951269</c:v>
                </c:pt>
                <c:pt idx="2">
                  <c:v>96.265780193784877</c:v>
                </c:pt>
                <c:pt idx="3">
                  <c:v>94.47454547442355</c:v>
                </c:pt>
                <c:pt idx="4">
                  <c:v>93.126093377149758</c:v>
                </c:pt>
                <c:pt idx="5">
                  <c:v>92.316125115721832</c:v>
                </c:pt>
                <c:pt idx="6">
                  <c:v>92.936149059715845</c:v>
                </c:pt>
                <c:pt idx="7">
                  <c:v>95.267170741630437</c:v>
                </c:pt>
                <c:pt idx="8">
                  <c:v>99.25675725423929</c:v>
                </c:pt>
                <c:pt idx="9">
                  <c:v>102.30380860196644</c:v>
                </c:pt>
                <c:pt idx="10">
                  <c:v>103.40946008875213</c:v>
                </c:pt>
                <c:pt idx="11">
                  <c:v>102.68708172631334</c:v>
                </c:pt>
                <c:pt idx="12">
                  <c:v>100.29282587106874</c:v>
                </c:pt>
                <c:pt idx="13">
                  <c:v>97.018957193518901</c:v>
                </c:pt>
                <c:pt idx="14">
                  <c:v>93.936436463245414</c:v>
                </c:pt>
                <c:pt idx="15">
                  <c:v>91.725309608524171</c:v>
                </c:pt>
                <c:pt idx="16">
                  <c:v>90.609847325546141</c:v>
                </c:pt>
                <c:pt idx="17">
                  <c:v>89.891573406824449</c:v>
                </c:pt>
                <c:pt idx="18">
                  <c:v>89.901341537658709</c:v>
                </c:pt>
                <c:pt idx="19">
                  <c:v>90.86095173830924</c:v>
                </c:pt>
                <c:pt idx="20">
                  <c:v>93.25674100598853</c:v>
                </c:pt>
                <c:pt idx="21">
                  <c:v>96.220981335014301</c:v>
                </c:pt>
                <c:pt idx="22">
                  <c:v>99.221376072169022</c:v>
                </c:pt>
                <c:pt idx="23">
                  <c:v>101.82444914614524</c:v>
                </c:pt>
                <c:pt idx="24">
                  <c:v>105.25952000179207</c:v>
                </c:pt>
                <c:pt idx="25">
                  <c:v>109.48666898989619</c:v>
                </c:pt>
                <c:pt idx="26">
                  <c:v>114.25187835957797</c:v>
                </c:pt>
                <c:pt idx="27">
                  <c:v>118.70490475756411</c:v>
                </c:pt>
                <c:pt idx="28">
                  <c:v>121.69549499646354</c:v>
                </c:pt>
                <c:pt idx="29">
                  <c:v>122.7390648685484</c:v>
                </c:pt>
                <c:pt idx="30">
                  <c:v>121.81343372163116</c:v>
                </c:pt>
                <c:pt idx="31">
                  <c:v>119.50380780270343</c:v>
                </c:pt>
                <c:pt idx="32">
                  <c:v>117.43287698970354</c:v>
                </c:pt>
                <c:pt idx="33">
                  <c:v>115.49942366910356</c:v>
                </c:pt>
                <c:pt idx="34">
                  <c:v>112.51563531546135</c:v>
                </c:pt>
                <c:pt idx="35">
                  <c:v>108.22846409314582</c:v>
                </c:pt>
                <c:pt idx="36">
                  <c:v>103.19243968649691</c:v>
                </c:pt>
                <c:pt idx="37">
                  <c:v>97.960735325717408</c:v>
                </c:pt>
                <c:pt idx="38">
                  <c:v>92.995244694704496</c:v>
                </c:pt>
                <c:pt idx="39">
                  <c:v>89.01024974865264</c:v>
                </c:pt>
                <c:pt idx="40">
                  <c:v>87.190911946536502</c:v>
                </c:pt>
                <c:pt idx="41">
                  <c:v>87.703647716904385</c:v>
                </c:pt>
                <c:pt idx="42">
                  <c:v>89.65542304414366</c:v>
                </c:pt>
                <c:pt idx="43">
                  <c:v>92.055753436973603</c:v>
                </c:pt>
                <c:pt idx="44">
                  <c:v>93.506095317370381</c:v>
                </c:pt>
                <c:pt idx="45">
                  <c:v>94.107006567707316</c:v>
                </c:pt>
                <c:pt idx="46">
                  <c:v>93.838292352483776</c:v>
                </c:pt>
                <c:pt idx="47">
                  <c:v>92.715743015703666</c:v>
                </c:pt>
                <c:pt idx="48">
                  <c:v>91.201830985016599</c:v>
                </c:pt>
                <c:pt idx="49">
                  <c:v>90.297793468180714</c:v>
                </c:pt>
                <c:pt idx="50">
                  <c:v>89.843187497886305</c:v>
                </c:pt>
                <c:pt idx="51">
                  <c:v>90.809700436151601</c:v>
                </c:pt>
                <c:pt idx="52">
                  <c:v>94.265185948184453</c:v>
                </c:pt>
                <c:pt idx="53">
                  <c:v>101.22770146993264</c:v>
                </c:pt>
                <c:pt idx="54">
                  <c:v>113.13737959044909</c:v>
                </c:pt>
                <c:pt idx="55">
                  <c:v>128.96179321638257</c:v>
                </c:pt>
                <c:pt idx="56">
                  <c:v>144.53282281646216</c:v>
                </c:pt>
                <c:pt idx="57">
                  <c:v>155.41667952083372</c:v>
                </c:pt>
                <c:pt idx="58">
                  <c:v>158.66251616137191</c:v>
                </c:pt>
                <c:pt idx="59">
                  <c:v>154.27364481651946</c:v>
                </c:pt>
                <c:pt idx="60">
                  <c:v>143.97600924503948</c:v>
                </c:pt>
                <c:pt idx="61">
                  <c:v>131.80269163482026</c:v>
                </c:pt>
                <c:pt idx="62">
                  <c:v>121.31302142420824</c:v>
                </c:pt>
                <c:pt idx="63">
                  <c:v>113.98909084223313</c:v>
                </c:pt>
                <c:pt idx="64">
                  <c:v>109.73755613975453</c:v>
                </c:pt>
                <c:pt idx="65">
                  <c:v>108.22758094443489</c:v>
                </c:pt>
                <c:pt idx="66">
                  <c:v>109.14886438547073</c:v>
                </c:pt>
                <c:pt idx="67">
                  <c:v>112.55316597910176</c:v>
                </c:pt>
                <c:pt idx="68">
                  <c:v>117.66957447075235</c:v>
                </c:pt>
                <c:pt idx="69">
                  <c:v>122.94689102112078</c:v>
                </c:pt>
                <c:pt idx="70">
                  <c:v>127.25847147946509</c:v>
                </c:pt>
                <c:pt idx="71">
                  <c:v>129.49721093757881</c:v>
                </c:pt>
                <c:pt idx="72">
                  <c:v>128.35016135466196</c:v>
                </c:pt>
                <c:pt idx="73">
                  <c:v>123.941590075745</c:v>
                </c:pt>
                <c:pt idx="74">
                  <c:v>117.45518515541175</c:v>
                </c:pt>
                <c:pt idx="75">
                  <c:v>110.77344660732426</c:v>
                </c:pt>
                <c:pt idx="76">
                  <c:v>106.14079558884262</c:v>
                </c:pt>
                <c:pt idx="77">
                  <c:v>104.217484603619</c:v>
                </c:pt>
                <c:pt idx="78">
                  <c:v>105.49390545834271</c:v>
                </c:pt>
                <c:pt idx="79">
                  <c:v>109.90367918459781</c:v>
                </c:pt>
                <c:pt idx="80">
                  <c:v>116.9447788258134</c:v>
                </c:pt>
                <c:pt idx="81">
                  <c:v>123.25987283217682</c:v>
                </c:pt>
                <c:pt idx="82">
                  <c:v>126.23218046369948</c:v>
                </c:pt>
                <c:pt idx="83">
                  <c:v>126.32306477594538</c:v>
                </c:pt>
                <c:pt idx="84">
                  <c:v>124.58378731390373</c:v>
                </c:pt>
                <c:pt idx="85">
                  <c:v>122.50937895010784</c:v>
                </c:pt>
                <c:pt idx="86">
                  <c:v>120.94351233364333</c:v>
                </c:pt>
              </c:numCache>
            </c:numRef>
          </c:val>
          <c:smooth val="0"/>
          <c:extLst>
            <c:ext xmlns:c16="http://schemas.microsoft.com/office/drawing/2014/chart" uri="{C3380CC4-5D6E-409C-BE32-E72D297353CC}">
              <c16:uniqueId val="{00000002-FC62-47F0-A6E7-99E5E7CC2030}"/>
            </c:ext>
          </c:extLst>
        </c:ser>
        <c:dLbls>
          <c:showLegendKey val="0"/>
          <c:showVal val="0"/>
          <c:showCatName val="0"/>
          <c:showSerName val="0"/>
          <c:showPercent val="0"/>
          <c:showBubbleSize val="0"/>
        </c:dLbls>
        <c:smooth val="0"/>
        <c:axId val="564849775"/>
        <c:axId val="564853135"/>
      </c:lineChart>
      <c:dateAx>
        <c:axId val="564849775"/>
        <c:scaling>
          <c:orientation val="minMax"/>
        </c:scaling>
        <c:delete val="0"/>
        <c:axPos val="b"/>
        <c:numFmt formatCode="yyyy" sourceLinked="0"/>
        <c:majorTickMark val="in"/>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564853135"/>
        <c:crosses val="autoZero"/>
        <c:auto val="1"/>
        <c:lblOffset val="100"/>
        <c:baseTimeUnit val="months"/>
        <c:majorUnit val="12"/>
        <c:majorTimeUnit val="months"/>
      </c:dateAx>
      <c:valAx>
        <c:axId val="564853135"/>
        <c:scaling>
          <c:orientation val="minMax"/>
          <c:min val="4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mn-lt"/>
                <a:ea typeface="+mn-ea"/>
                <a:cs typeface="+mn-cs"/>
              </a:defRPr>
            </a:pPr>
            <a:endParaRPr lang="en-US"/>
          </a:p>
        </c:txPr>
        <c:crossAx val="564849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38333566814724E-2"/>
          <c:y val="0.1763378668575519"/>
          <c:w val="0.84152441217632179"/>
          <c:h val="0.70375643044619418"/>
        </c:manualLayout>
      </c:layout>
      <c:barChart>
        <c:barDir val="col"/>
        <c:grouping val="clustered"/>
        <c:varyColors val="0"/>
        <c:ser>
          <c:idx val="1"/>
          <c:order val="0"/>
          <c:tx>
            <c:strRef>
              <c:f>Sheet1!$C$1</c:f>
              <c:strCache>
                <c:ptCount val="1"/>
                <c:pt idx="0">
                  <c:v>Domestic seats available (million)</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(Sheet1!$B$11:$B$12,Sheet1!$B$22:$B$23)</c:f>
              <c:numCache>
                <c:formatCode>General</c:formatCode>
                <c:ptCount val="4"/>
                <c:pt idx="0">
                  <c:v>2023</c:v>
                </c:pt>
                <c:pt idx="1">
                  <c:v>2024</c:v>
                </c:pt>
                <c:pt idx="2" formatCode="0">
                  <c:v>2023</c:v>
                </c:pt>
                <c:pt idx="3" formatCode="0">
                  <c:v>2024</c:v>
                </c:pt>
              </c:numCache>
            </c:numRef>
          </c:cat>
          <c:val>
            <c:numRef>
              <c:f>(Sheet1!$C$11:$C$12,Sheet1!$C$22:$C$23)</c:f>
              <c:numCache>
                <c:formatCode>#,##0</c:formatCode>
                <c:ptCount val="4"/>
                <c:pt idx="0">
                  <c:v>72.904701999999986</c:v>
                </c:pt>
                <c:pt idx="1">
                  <c:v>74.295000000000002</c:v>
                </c:pt>
                <c:pt idx="2">
                  <c:v>#N/A</c:v>
                </c:pt>
                <c:pt idx="3">
                  <c:v>#N/A</c:v>
                </c:pt>
              </c:numCache>
            </c:numRef>
          </c:val>
          <c:extLst>
            <c:ext xmlns:c16="http://schemas.microsoft.com/office/drawing/2014/chart" uri="{C3380CC4-5D6E-409C-BE32-E72D297353CC}">
              <c16:uniqueId val="{00000000-C11C-4ECC-B530-9B92C38AD68B}"/>
            </c:ext>
          </c:extLst>
        </c:ser>
        <c:dLbls>
          <c:showLegendKey val="0"/>
          <c:showVal val="1"/>
          <c:showCatName val="0"/>
          <c:showSerName val="0"/>
          <c:showPercent val="0"/>
          <c:showBubbleSize val="0"/>
        </c:dLbls>
        <c:gapWidth val="219"/>
        <c:overlap val="-27"/>
        <c:axId val="32768368"/>
        <c:axId val="32767408"/>
      </c:barChart>
      <c:barChart>
        <c:barDir val="col"/>
        <c:grouping val="clustered"/>
        <c:varyColors val="0"/>
        <c:ser>
          <c:idx val="2"/>
          <c:order val="1"/>
          <c:tx>
            <c:strRef>
              <c:f>Sheet1!$D$1</c:f>
              <c:strCache>
                <c:ptCount val="1"/>
                <c:pt idx="0">
                  <c:v>International seats available (million)</c:v>
                </c:pt>
              </c:strCache>
            </c:strRef>
          </c:tx>
          <c:spPr>
            <a:solidFill>
              <a:schemeClr val="accent4"/>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2-C11C-4ECC-B530-9B92C38AD68B}"/>
              </c:ext>
            </c:extLst>
          </c:dPt>
          <c:dLbls>
            <c:spPr>
              <a:noFill/>
              <a:ln>
                <a:noFill/>
              </a:ln>
              <a:effectLst/>
            </c:spPr>
            <c:txPr>
              <a:bodyPr rot="0" spcFirstLastPara="1" vertOverflow="ellipsis" vert="horz" wrap="square" anchor="ctr" anchorCtr="1"/>
              <a:lstStyle/>
              <a:p>
                <a:pPr>
                  <a:defRPr sz="1000" b="0" i="0" u="none" strike="noStrike" kern="1200" baseline="0">
                    <a:solidFill>
                      <a:schemeClr val="accent4">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(Sheet1!$D$11:$D$12,Sheet1!$D$22:$D$23)</c:f>
              <c:numCache>
                <c:formatCode>#,##0</c:formatCode>
                <c:ptCount val="4"/>
                <c:pt idx="0">
                  <c:v>#N/A</c:v>
                </c:pt>
                <c:pt idx="1">
                  <c:v>#N/A</c:v>
                </c:pt>
                <c:pt idx="2">
                  <c:v>22.613099999999999</c:v>
                </c:pt>
                <c:pt idx="3">
                  <c:v>25.941997000000001</c:v>
                </c:pt>
              </c:numCache>
            </c:numRef>
          </c:val>
          <c:extLst>
            <c:ext xmlns:c16="http://schemas.microsoft.com/office/drawing/2014/chart" uri="{C3380CC4-5D6E-409C-BE32-E72D297353CC}">
              <c16:uniqueId val="{00000003-C11C-4ECC-B530-9B92C38AD68B}"/>
            </c:ext>
          </c:extLst>
        </c:ser>
        <c:dLbls>
          <c:showLegendKey val="0"/>
          <c:showVal val="1"/>
          <c:showCatName val="0"/>
          <c:showSerName val="0"/>
          <c:showPercent val="0"/>
          <c:showBubbleSize val="0"/>
        </c:dLbls>
        <c:gapWidth val="219"/>
        <c:axId val="1653991056"/>
        <c:axId val="1653990576"/>
      </c:barChart>
      <c:catAx>
        <c:axId val="32768368"/>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32767408"/>
        <c:crosses val="autoZero"/>
        <c:auto val="1"/>
        <c:lblAlgn val="ctr"/>
        <c:lblOffset val="100"/>
        <c:noMultiLvlLbl val="0"/>
      </c:catAx>
      <c:valAx>
        <c:axId val="327674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32768368"/>
        <c:crosses val="autoZero"/>
        <c:crossBetween val="between"/>
        <c:majorUnit val="20"/>
      </c:valAx>
      <c:valAx>
        <c:axId val="1653990576"/>
        <c:scaling>
          <c:orientation val="minMax"/>
          <c:max val="4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1653991056"/>
        <c:crosses val="max"/>
        <c:crossBetween val="between"/>
        <c:majorUnit val="10"/>
      </c:valAx>
      <c:catAx>
        <c:axId val="1653991056"/>
        <c:scaling>
          <c:orientation val="minMax"/>
        </c:scaling>
        <c:delete val="1"/>
        <c:axPos val="b"/>
        <c:numFmt formatCode="General" sourceLinked="1"/>
        <c:majorTickMark val="out"/>
        <c:minorTickMark val="none"/>
        <c:tickLblPos val="nextTo"/>
        <c:crossAx val="1653990576"/>
        <c:crosses val="autoZero"/>
        <c:auto val="1"/>
        <c:lblAlgn val="ctr"/>
        <c:lblOffset val="100"/>
        <c:noMultiLvlLbl val="0"/>
      </c:catAx>
      <c:spPr>
        <a:noFill/>
        <a:ln>
          <a:noFill/>
        </a:ln>
        <a:effectLst/>
      </c:spPr>
    </c:plotArea>
    <c:legend>
      <c:legendPos val="b"/>
      <c:layout>
        <c:manualLayout>
          <c:xMode val="edge"/>
          <c:yMode val="edge"/>
          <c:x val="2.8617274238274593E-3"/>
          <c:y val="3.8443053809729226E-3"/>
          <c:w val="0.99633459743290553"/>
          <c:h val="0.12557495089784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42037512164911"/>
          <c:y val="1.7834887203516682E-3"/>
          <c:w val="0.69604245396291753"/>
          <c:h val="0.96666119189089095"/>
        </c:manualLayout>
      </c:layout>
      <c:barChart>
        <c:barDir val="bar"/>
        <c:grouping val="clustered"/>
        <c:varyColors val="0"/>
        <c:ser>
          <c:idx val="0"/>
          <c:order val="0"/>
          <c:tx>
            <c:strRef>
              <c:f>Sheet1!$B$1</c:f>
              <c:strCache>
                <c:ptCount val="1"/>
                <c:pt idx="0">
                  <c:v>Series 1</c:v>
                </c:pt>
              </c:strCache>
            </c:strRef>
          </c:tx>
          <c:spPr>
            <a:solidFill>
              <a:schemeClr val="tx2"/>
            </a:solidFill>
            <a:ln>
              <a:noFill/>
            </a:ln>
            <a:effectLst/>
          </c:spPr>
          <c:invertIfNegative val="0"/>
          <c:dLbls>
            <c:dLbl>
              <c:idx val="0"/>
              <c:tx>
                <c:rich>
                  <a:bodyPr/>
                  <a:lstStyle/>
                  <a:p>
                    <a:fld id="{99D11CC2-E65E-4A42-94D4-5DA2D1B67AA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063-418B-BA0A-3E2B1C23273F}"/>
                </c:ext>
              </c:extLst>
            </c:dLbl>
            <c:dLbl>
              <c:idx val="1"/>
              <c:tx>
                <c:rich>
                  <a:bodyPr/>
                  <a:lstStyle/>
                  <a:p>
                    <a:fld id="{F4B877B2-51BD-4E47-85F4-A1B86990193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063-418B-BA0A-3E2B1C23273F}"/>
                </c:ext>
              </c:extLst>
            </c:dLbl>
            <c:dLbl>
              <c:idx val="2"/>
              <c:tx>
                <c:rich>
                  <a:bodyPr/>
                  <a:lstStyle/>
                  <a:p>
                    <a:fld id="{184988E4-8B4D-4E9C-A768-BAD7B860A6B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063-418B-BA0A-3E2B1C23273F}"/>
                </c:ext>
              </c:extLst>
            </c:dLbl>
            <c:dLbl>
              <c:idx val="3"/>
              <c:tx>
                <c:rich>
                  <a:bodyPr/>
                  <a:lstStyle/>
                  <a:p>
                    <a:fld id="{B36F609E-880A-411B-A9A3-FC3711EC5F1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063-418B-BA0A-3E2B1C23273F}"/>
                </c:ext>
              </c:extLst>
            </c:dLbl>
            <c:dLbl>
              <c:idx val="4"/>
              <c:tx>
                <c:rich>
                  <a:bodyPr/>
                  <a:lstStyle/>
                  <a:p>
                    <a:fld id="{EDC362FD-FA4A-429C-857F-4D76CDAD2AB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063-418B-BA0A-3E2B1C23273F}"/>
                </c:ext>
              </c:extLst>
            </c:dLbl>
            <c:dLbl>
              <c:idx val="5"/>
              <c:tx>
                <c:rich>
                  <a:bodyPr/>
                  <a:lstStyle/>
                  <a:p>
                    <a:fld id="{C595B36B-D7A2-4871-BC40-E79FC28043A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063-418B-BA0A-3E2B1C23273F}"/>
                </c:ext>
              </c:extLst>
            </c:dLbl>
            <c:dLbl>
              <c:idx val="6"/>
              <c:tx>
                <c:rich>
                  <a:bodyPr/>
                  <a:lstStyle/>
                  <a:p>
                    <a:fld id="{8DD20E69-C5BC-48AC-9283-B677DE9FEF6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063-418B-BA0A-3E2B1C23273F}"/>
                </c:ext>
              </c:extLst>
            </c:dLbl>
            <c:dLbl>
              <c:idx val="7"/>
              <c:tx>
                <c:rich>
                  <a:bodyPr/>
                  <a:lstStyle/>
                  <a:p>
                    <a:fld id="{2BBAAAC7-620A-4FC5-BBB4-6A90C3A5073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063-418B-BA0A-3E2B1C23273F}"/>
                </c:ext>
              </c:extLst>
            </c:dLbl>
            <c:dLbl>
              <c:idx val="8"/>
              <c:tx>
                <c:rich>
                  <a:bodyPr/>
                  <a:lstStyle/>
                  <a:p>
                    <a:fld id="{85E44B74-BE2E-40B6-9F72-2328DCD28B7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063-418B-BA0A-3E2B1C23273F}"/>
                </c:ext>
              </c:extLst>
            </c:dLbl>
            <c:dLbl>
              <c:idx val="9"/>
              <c:tx>
                <c:rich>
                  <a:bodyPr/>
                  <a:lstStyle/>
                  <a:p>
                    <a:fld id="{BCCA42F5-ADE5-4FEC-9DDF-189E792588A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063-418B-BA0A-3E2B1C23273F}"/>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Sheet1!$A$2:$A$11</c:f>
              <c:strCache>
                <c:ptCount val="10"/>
                <c:pt idx="0">
                  <c:v>South-East Asia</c:v>
                </c:pt>
                <c:pt idx="1">
                  <c:v>North East Asia</c:v>
                </c:pt>
                <c:pt idx="2">
                  <c:v>New Zealand</c:v>
                </c:pt>
                <c:pt idx="3">
                  <c:v>Middle East</c:v>
                </c:pt>
                <c:pt idx="4">
                  <c:v>North America</c:v>
                </c:pt>
                <c:pt idx="5">
                  <c:v>Pacific/Ind Ocean</c:v>
                </c:pt>
                <c:pt idx="6">
                  <c:v>South Asia</c:v>
                </c:pt>
                <c:pt idx="7">
                  <c:v>Europe</c:v>
                </c:pt>
                <c:pt idx="8">
                  <c:v>South America</c:v>
                </c:pt>
                <c:pt idx="9">
                  <c:v>Africa</c:v>
                </c:pt>
              </c:strCache>
            </c:strRef>
          </c:cat>
          <c:val>
            <c:numRef>
              <c:f>Sheet1!$B$2:$B$11</c:f>
              <c:numCache>
                <c:formatCode>_-* #,##0.0_-;\-* #,##0.0_-;_-* "-"??_-;_-@_-</c:formatCode>
                <c:ptCount val="10"/>
                <c:pt idx="0">
                  <c:v>9.6224150000000002</c:v>
                </c:pt>
                <c:pt idx="1">
                  <c:v>5.1291989999999998</c:v>
                </c:pt>
                <c:pt idx="2">
                  <c:v>4.1144410000000002</c:v>
                </c:pt>
                <c:pt idx="3">
                  <c:v>2.7222629999999999</c:v>
                </c:pt>
                <c:pt idx="4">
                  <c:v>1.85958</c:v>
                </c:pt>
                <c:pt idx="5">
                  <c:v>1.26285</c:v>
                </c:pt>
                <c:pt idx="6">
                  <c:v>0.50049299999999997</c:v>
                </c:pt>
                <c:pt idx="7">
                  <c:v>0.37300800000000001</c:v>
                </c:pt>
                <c:pt idx="8">
                  <c:v>0.19749</c:v>
                </c:pt>
                <c:pt idx="9">
                  <c:v>0.15997900000000001</c:v>
                </c:pt>
              </c:numCache>
            </c:numRef>
          </c:val>
          <c:extLst>
            <c:ext xmlns:c15="http://schemas.microsoft.com/office/drawing/2012/chart" uri="{02D57815-91ED-43cb-92C2-25804820EDAC}">
              <c15:datalabelsRange>
                <c15:f>Sheet1!$B$2:$B$11</c15:f>
                <c15:dlblRangeCache>
                  <c:ptCount val="10"/>
                  <c:pt idx="0">
                    <c:v> 9.6 </c:v>
                  </c:pt>
                  <c:pt idx="1">
                    <c:v> 5.1 </c:v>
                  </c:pt>
                  <c:pt idx="2">
                    <c:v> 4.1 </c:v>
                  </c:pt>
                  <c:pt idx="3">
                    <c:v> 2.7 </c:v>
                  </c:pt>
                  <c:pt idx="4">
                    <c:v> 1.9 </c:v>
                  </c:pt>
                  <c:pt idx="5">
                    <c:v> 1.3 </c:v>
                  </c:pt>
                  <c:pt idx="6">
                    <c:v> 0.5 </c:v>
                  </c:pt>
                  <c:pt idx="7">
                    <c:v> 0.4 </c:v>
                  </c:pt>
                  <c:pt idx="8">
                    <c:v> 0.2 </c:v>
                  </c:pt>
                  <c:pt idx="9">
                    <c:v> 0.2 </c:v>
                  </c:pt>
                </c15:dlblRangeCache>
              </c15:datalabelsRange>
            </c:ext>
            <c:ext xmlns:c16="http://schemas.microsoft.com/office/drawing/2014/chart" uri="{C3380CC4-5D6E-409C-BE32-E72D297353CC}">
              <c16:uniqueId val="{0000000A-A063-418B-BA0A-3E2B1C23273F}"/>
            </c:ext>
          </c:extLst>
        </c:ser>
        <c:dLbls>
          <c:showLegendKey val="0"/>
          <c:showVal val="0"/>
          <c:showCatName val="0"/>
          <c:showSerName val="0"/>
          <c:showPercent val="0"/>
          <c:showBubbleSize val="0"/>
        </c:dLbls>
        <c:gapWidth val="59"/>
        <c:axId val="444738048"/>
        <c:axId val="444742368"/>
      </c:barChart>
      <c:catAx>
        <c:axId val="444738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444742368"/>
        <c:crosses val="autoZero"/>
        <c:auto val="1"/>
        <c:lblAlgn val="ctr"/>
        <c:lblOffset val="100"/>
        <c:noMultiLvlLbl val="0"/>
      </c:catAx>
      <c:valAx>
        <c:axId val="444742368"/>
        <c:scaling>
          <c:orientation val="minMax"/>
          <c:max val="11"/>
        </c:scaling>
        <c:delete val="1"/>
        <c:axPos val="t"/>
        <c:numFmt formatCode="_-* #,##0.0_-;\-* #,##0.0_-;_-* &quot;-&quot;??_-;_-@_-" sourceLinked="1"/>
        <c:majorTickMark val="out"/>
        <c:minorTickMark val="none"/>
        <c:tickLblPos val="nextTo"/>
        <c:crossAx val="44473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Tourism characteristic industries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FY 18-19</c:v>
                </c:pt>
                <c:pt idx="1">
                  <c:v>FY 19-20</c:v>
                </c:pt>
                <c:pt idx="2">
                  <c:v>FY 20-21</c:v>
                </c:pt>
                <c:pt idx="3">
                  <c:v>FY 21-22</c:v>
                </c:pt>
                <c:pt idx="4">
                  <c:v>FY 22-23</c:v>
                </c:pt>
                <c:pt idx="5">
                  <c:v>FY 23-24</c:v>
                </c:pt>
              </c:strCache>
            </c:strRef>
          </c:cat>
          <c:val>
            <c:numRef>
              <c:f>Sheet1!$B$2:$B$7</c:f>
              <c:numCache>
                <c:formatCode>_-* #,##0_-;\-* #,##0_-;_-* "-"??_-;_-@_-</c:formatCode>
                <c:ptCount val="6"/>
                <c:pt idx="0">
                  <c:v>188419</c:v>
                </c:pt>
                <c:pt idx="1">
                  <c:v>193198</c:v>
                </c:pt>
                <c:pt idx="2">
                  <c:v>194935</c:v>
                </c:pt>
                <c:pt idx="3">
                  <c:v>202076</c:v>
                </c:pt>
                <c:pt idx="4">
                  <c:v>200368</c:v>
                </c:pt>
                <c:pt idx="5">
                  <c:v>203264</c:v>
                </c:pt>
              </c:numCache>
            </c:numRef>
          </c:val>
          <c:extLst>
            <c:ext xmlns:c16="http://schemas.microsoft.com/office/drawing/2014/chart" uri="{C3380CC4-5D6E-409C-BE32-E72D297353CC}">
              <c16:uniqueId val="{00000000-2699-458E-8B90-CDFCF3FFEAFA}"/>
            </c:ext>
          </c:extLst>
        </c:ser>
        <c:ser>
          <c:idx val="1"/>
          <c:order val="1"/>
          <c:tx>
            <c:strRef>
              <c:f>Sheet1!$C$1</c:f>
              <c:strCache>
                <c:ptCount val="1"/>
                <c:pt idx="0">
                  <c:v>Tourism connected industries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FY 18-19</c:v>
                </c:pt>
                <c:pt idx="1">
                  <c:v>FY 19-20</c:v>
                </c:pt>
                <c:pt idx="2">
                  <c:v>FY 20-21</c:v>
                </c:pt>
                <c:pt idx="3">
                  <c:v>FY 21-22</c:v>
                </c:pt>
                <c:pt idx="4">
                  <c:v>FY 22-23</c:v>
                </c:pt>
                <c:pt idx="5">
                  <c:v>FY 23-24</c:v>
                </c:pt>
              </c:strCache>
            </c:strRef>
          </c:cat>
          <c:val>
            <c:numRef>
              <c:f>Sheet1!$C$2:$C$7</c:f>
              <c:numCache>
                <c:formatCode>_-* #,##0_-;\-* #,##0_-;_-* "-"??_-;_-@_-</c:formatCode>
                <c:ptCount val="6"/>
                <c:pt idx="0">
                  <c:v>137094</c:v>
                </c:pt>
                <c:pt idx="1">
                  <c:v>139850</c:v>
                </c:pt>
                <c:pt idx="2">
                  <c:v>149110</c:v>
                </c:pt>
                <c:pt idx="3">
                  <c:v>157574</c:v>
                </c:pt>
                <c:pt idx="4">
                  <c:v>157246</c:v>
                </c:pt>
                <c:pt idx="5">
                  <c:v>156938</c:v>
                </c:pt>
              </c:numCache>
            </c:numRef>
          </c:val>
          <c:extLst>
            <c:ext xmlns:c16="http://schemas.microsoft.com/office/drawing/2014/chart" uri="{C3380CC4-5D6E-409C-BE32-E72D297353CC}">
              <c16:uniqueId val="{00000001-2699-458E-8B90-CDFCF3FFEAFA}"/>
            </c:ext>
          </c:extLst>
        </c:ser>
        <c:ser>
          <c:idx val="2"/>
          <c:order val="2"/>
          <c:tx>
            <c:strRef>
              <c:f>Sheet1!$D$1</c:f>
              <c:strCache>
                <c:ptCount val="1"/>
                <c:pt idx="0">
                  <c:v>Total</c:v>
                </c:pt>
              </c:strCache>
            </c:strRef>
          </c:tx>
          <c:spPr>
            <a:solidFill>
              <a:schemeClr val="bg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FY 18-19</c:v>
                </c:pt>
                <c:pt idx="1">
                  <c:v>FY 19-20</c:v>
                </c:pt>
                <c:pt idx="2">
                  <c:v>FY 20-21</c:v>
                </c:pt>
                <c:pt idx="3">
                  <c:v>FY 21-22</c:v>
                </c:pt>
                <c:pt idx="4">
                  <c:v>FY 22-23</c:v>
                </c:pt>
                <c:pt idx="5">
                  <c:v>FY 23-24</c:v>
                </c:pt>
              </c:strCache>
            </c:strRef>
          </c:cat>
          <c:val>
            <c:numRef>
              <c:f>Sheet1!$D$2:$D$7</c:f>
              <c:numCache>
                <c:formatCode>_-* #,##0_-;\-* #,##0_-;_-* "-"??_-;_-@_-</c:formatCode>
                <c:ptCount val="6"/>
                <c:pt idx="0">
                  <c:v>325513</c:v>
                </c:pt>
                <c:pt idx="1">
                  <c:v>333048</c:v>
                </c:pt>
                <c:pt idx="2">
                  <c:v>344045</c:v>
                </c:pt>
                <c:pt idx="3">
                  <c:v>359650</c:v>
                </c:pt>
                <c:pt idx="4">
                  <c:v>357614</c:v>
                </c:pt>
                <c:pt idx="5">
                  <c:v>360202</c:v>
                </c:pt>
              </c:numCache>
            </c:numRef>
          </c:val>
          <c:extLst>
            <c:ext xmlns:c16="http://schemas.microsoft.com/office/drawing/2014/chart" uri="{C3380CC4-5D6E-409C-BE32-E72D297353CC}">
              <c16:uniqueId val="{00000002-2699-458E-8B90-CDFCF3FFEAFA}"/>
            </c:ext>
          </c:extLst>
        </c:ser>
        <c:dLbls>
          <c:dLblPos val="ctr"/>
          <c:showLegendKey val="0"/>
          <c:showVal val="1"/>
          <c:showCatName val="0"/>
          <c:showSerName val="0"/>
          <c:showPercent val="0"/>
          <c:showBubbleSize val="0"/>
        </c:dLbls>
        <c:gapWidth val="89"/>
        <c:overlap val="100"/>
        <c:axId val="158473423"/>
        <c:axId val="158466223"/>
      </c:barChart>
      <c:catAx>
        <c:axId val="158473423"/>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158466223"/>
        <c:crosses val="autoZero"/>
        <c:auto val="1"/>
        <c:lblAlgn val="ctr"/>
        <c:lblOffset val="100"/>
        <c:noMultiLvlLbl val="0"/>
      </c:catAx>
      <c:valAx>
        <c:axId val="158466223"/>
        <c:scaling>
          <c:orientation val="minMax"/>
          <c:max val="500000"/>
        </c:scaling>
        <c:delete val="1"/>
        <c:axPos val="b"/>
        <c:numFmt formatCode="_-* #,##0_-;\-* #,##0_-;_-* &quot;-&quot;??_-;_-@_-" sourceLinked="1"/>
        <c:majorTickMark val="out"/>
        <c:minorTickMark val="none"/>
        <c:tickLblPos val="nextTo"/>
        <c:crossAx val="1584734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5487280142538"/>
          <c:y val="8.1771069417509737E-2"/>
          <c:w val="0.84223869151058173"/>
          <c:h val="0.8355752860269321"/>
        </c:manualLayout>
      </c:layout>
      <c:lineChart>
        <c:grouping val="standard"/>
        <c:varyColors val="0"/>
        <c:ser>
          <c:idx val="0"/>
          <c:order val="0"/>
          <c:tx>
            <c:strRef>
              <c:f>Sheet1!$B$1</c:f>
              <c:strCache>
                <c:ptCount val="1"/>
                <c:pt idx="0">
                  <c:v>Accommodation</c:v>
                </c:pt>
              </c:strCache>
            </c:strRef>
          </c:tx>
          <c:spPr>
            <a:ln w="28575" cap="rnd">
              <a:solidFill>
                <a:schemeClr val="tx2"/>
              </a:solidFill>
              <a:round/>
            </a:ln>
            <a:effectLst/>
          </c:spPr>
          <c:marker>
            <c:symbol val="none"/>
          </c:marker>
          <c:cat>
            <c:numRef>
              <c:f>Sheet1!$A$2:$A$25</c:f>
              <c:numCache>
                <c:formatCode>mmm\-yy</c:formatCode>
                <c:ptCount val="24"/>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pt idx="21">
                  <c:v>45444</c:v>
                </c:pt>
                <c:pt idx="22">
                  <c:v>45536</c:v>
                </c:pt>
                <c:pt idx="23">
                  <c:v>45627</c:v>
                </c:pt>
              </c:numCache>
            </c:numRef>
          </c:cat>
          <c:val>
            <c:numRef>
              <c:f>Sheet1!$B$2:$B$25</c:f>
              <c:numCache>
                <c:formatCode>0;\-0;0;@</c:formatCode>
                <c:ptCount val="24"/>
                <c:pt idx="0">
                  <c:v>121.2</c:v>
                </c:pt>
                <c:pt idx="1">
                  <c:v>114.1</c:v>
                </c:pt>
                <c:pt idx="2">
                  <c:v>115.4</c:v>
                </c:pt>
                <c:pt idx="3">
                  <c:v>126.1</c:v>
                </c:pt>
                <c:pt idx="4">
                  <c:v>113.4</c:v>
                </c:pt>
                <c:pt idx="5">
                  <c:v>104</c:v>
                </c:pt>
                <c:pt idx="6">
                  <c:v>104.3</c:v>
                </c:pt>
                <c:pt idx="7">
                  <c:v>113.7</c:v>
                </c:pt>
                <c:pt idx="8">
                  <c:v>113.9</c:v>
                </c:pt>
                <c:pt idx="9">
                  <c:v>118.5</c:v>
                </c:pt>
                <c:pt idx="10">
                  <c:v>111.8</c:v>
                </c:pt>
                <c:pt idx="11">
                  <c:v>122.8</c:v>
                </c:pt>
                <c:pt idx="12">
                  <c:v>126.2</c:v>
                </c:pt>
                <c:pt idx="13">
                  <c:v>137.5</c:v>
                </c:pt>
                <c:pt idx="14">
                  <c:v>140.30000000000001</c:v>
                </c:pt>
                <c:pt idx="15">
                  <c:v>150.9</c:v>
                </c:pt>
                <c:pt idx="16">
                  <c:v>157.19999999999999</c:v>
                </c:pt>
                <c:pt idx="17">
                  <c:v>139.30000000000001</c:v>
                </c:pt>
                <c:pt idx="18">
                  <c:v>144.4</c:v>
                </c:pt>
                <c:pt idx="19">
                  <c:v>151.1</c:v>
                </c:pt>
                <c:pt idx="20">
                  <c:v>155.19999999999999</c:v>
                </c:pt>
                <c:pt idx="21">
                  <c:v>141.6</c:v>
                </c:pt>
                <c:pt idx="22">
                  <c:v>145.6</c:v>
                </c:pt>
                <c:pt idx="23">
                  <c:v>159.9</c:v>
                </c:pt>
              </c:numCache>
            </c:numRef>
          </c:val>
          <c:smooth val="1"/>
          <c:extLst>
            <c:ext xmlns:c16="http://schemas.microsoft.com/office/drawing/2014/chart" uri="{C3380CC4-5D6E-409C-BE32-E72D297353CC}">
              <c16:uniqueId val="{00000000-26D2-4116-BD08-3964E7AFFBAC}"/>
            </c:ext>
          </c:extLst>
        </c:ser>
        <c:ser>
          <c:idx val="1"/>
          <c:order val="1"/>
          <c:tx>
            <c:strRef>
              <c:f>Sheet1!$C$1</c:f>
              <c:strCache>
                <c:ptCount val="1"/>
                <c:pt idx="0">
                  <c:v>Cafes, restaurants and takeaway food services</c:v>
                </c:pt>
              </c:strCache>
            </c:strRef>
          </c:tx>
          <c:spPr>
            <a:ln w="28575" cap="rnd">
              <a:solidFill>
                <a:schemeClr val="accent2"/>
              </a:solidFill>
              <a:prstDash val="dash"/>
              <a:round/>
            </a:ln>
            <a:effectLst/>
          </c:spPr>
          <c:marker>
            <c:symbol val="none"/>
          </c:marker>
          <c:cat>
            <c:numRef>
              <c:f>Sheet1!$A$2:$A$25</c:f>
              <c:numCache>
                <c:formatCode>mmm\-yy</c:formatCode>
                <c:ptCount val="24"/>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pt idx="21">
                  <c:v>45444</c:v>
                </c:pt>
                <c:pt idx="22">
                  <c:v>45536</c:v>
                </c:pt>
                <c:pt idx="23">
                  <c:v>45627</c:v>
                </c:pt>
              </c:numCache>
            </c:numRef>
          </c:cat>
          <c:val>
            <c:numRef>
              <c:f>Sheet1!$C$2:$C$25</c:f>
              <c:numCache>
                <c:formatCode>0;\-0;0;@</c:formatCode>
                <c:ptCount val="24"/>
                <c:pt idx="0">
                  <c:v>114.4</c:v>
                </c:pt>
                <c:pt idx="1">
                  <c:v>114.5</c:v>
                </c:pt>
                <c:pt idx="2">
                  <c:v>115</c:v>
                </c:pt>
                <c:pt idx="3">
                  <c:v>116.3</c:v>
                </c:pt>
                <c:pt idx="4">
                  <c:v>117.1</c:v>
                </c:pt>
                <c:pt idx="5">
                  <c:v>117.4</c:v>
                </c:pt>
                <c:pt idx="6">
                  <c:v>116.9</c:v>
                </c:pt>
                <c:pt idx="7">
                  <c:v>118.2</c:v>
                </c:pt>
                <c:pt idx="8">
                  <c:v>118.8</c:v>
                </c:pt>
                <c:pt idx="9">
                  <c:v>119.2</c:v>
                </c:pt>
                <c:pt idx="10">
                  <c:v>120.8</c:v>
                </c:pt>
                <c:pt idx="11">
                  <c:v>122.3</c:v>
                </c:pt>
                <c:pt idx="12">
                  <c:v>123.7</c:v>
                </c:pt>
                <c:pt idx="13">
                  <c:v>126.3</c:v>
                </c:pt>
                <c:pt idx="14">
                  <c:v>127.6</c:v>
                </c:pt>
                <c:pt idx="15">
                  <c:v>130.1</c:v>
                </c:pt>
                <c:pt idx="16">
                  <c:v>131</c:v>
                </c:pt>
                <c:pt idx="17">
                  <c:v>133.30000000000001</c:v>
                </c:pt>
                <c:pt idx="18">
                  <c:v>136</c:v>
                </c:pt>
                <c:pt idx="19">
                  <c:v>137.19999999999999</c:v>
                </c:pt>
                <c:pt idx="20">
                  <c:v>137.9</c:v>
                </c:pt>
                <c:pt idx="21">
                  <c:v>138.80000000000001</c:v>
                </c:pt>
                <c:pt idx="22">
                  <c:v>139.9</c:v>
                </c:pt>
                <c:pt idx="23">
                  <c:v>140.80000000000001</c:v>
                </c:pt>
              </c:numCache>
            </c:numRef>
          </c:val>
          <c:smooth val="1"/>
          <c:extLst>
            <c:ext xmlns:c16="http://schemas.microsoft.com/office/drawing/2014/chart" uri="{C3380CC4-5D6E-409C-BE32-E72D297353CC}">
              <c16:uniqueId val="{00000001-26D2-4116-BD08-3964E7AFFBAC}"/>
            </c:ext>
          </c:extLst>
        </c:ser>
        <c:ser>
          <c:idx val="2"/>
          <c:order val="2"/>
          <c:tx>
            <c:strRef>
              <c:f>Sheet1!$D$1</c:f>
              <c:strCache>
                <c:ptCount val="1"/>
                <c:pt idx="0">
                  <c:v>Total Australia</c:v>
                </c:pt>
              </c:strCache>
            </c:strRef>
          </c:tx>
          <c:spPr>
            <a:ln w="28575" cap="rnd">
              <a:solidFill>
                <a:schemeClr val="accent4"/>
              </a:solidFill>
              <a:prstDash val="sysDot"/>
              <a:round/>
            </a:ln>
            <a:effectLst/>
          </c:spPr>
          <c:marker>
            <c:symbol val="none"/>
          </c:marker>
          <c:cat>
            <c:numRef>
              <c:f>Sheet1!$A$2:$A$25</c:f>
              <c:numCache>
                <c:formatCode>mmm\-yy</c:formatCode>
                <c:ptCount val="24"/>
                <c:pt idx="0">
                  <c:v>43525</c:v>
                </c:pt>
                <c:pt idx="1">
                  <c:v>43617</c:v>
                </c:pt>
                <c:pt idx="2">
                  <c:v>43709</c:v>
                </c:pt>
                <c:pt idx="3">
                  <c:v>43800</c:v>
                </c:pt>
                <c:pt idx="4">
                  <c:v>43891</c:v>
                </c:pt>
                <c:pt idx="5">
                  <c:v>43983</c:v>
                </c:pt>
                <c:pt idx="6">
                  <c:v>44075</c:v>
                </c:pt>
                <c:pt idx="7">
                  <c:v>44166</c:v>
                </c:pt>
                <c:pt idx="8">
                  <c:v>44256</c:v>
                </c:pt>
                <c:pt idx="9">
                  <c:v>44348</c:v>
                </c:pt>
                <c:pt idx="10">
                  <c:v>44440</c:v>
                </c:pt>
                <c:pt idx="11">
                  <c:v>44531</c:v>
                </c:pt>
                <c:pt idx="12">
                  <c:v>44621</c:v>
                </c:pt>
                <c:pt idx="13">
                  <c:v>44713</c:v>
                </c:pt>
                <c:pt idx="14">
                  <c:v>44805</c:v>
                </c:pt>
                <c:pt idx="15">
                  <c:v>44896</c:v>
                </c:pt>
                <c:pt idx="16">
                  <c:v>44986</c:v>
                </c:pt>
                <c:pt idx="17">
                  <c:v>45078</c:v>
                </c:pt>
                <c:pt idx="18">
                  <c:v>45170</c:v>
                </c:pt>
                <c:pt idx="19">
                  <c:v>45261</c:v>
                </c:pt>
                <c:pt idx="20">
                  <c:v>45352</c:v>
                </c:pt>
                <c:pt idx="21">
                  <c:v>45444</c:v>
                </c:pt>
                <c:pt idx="22">
                  <c:v>45536</c:v>
                </c:pt>
                <c:pt idx="23">
                  <c:v>45627</c:v>
                </c:pt>
              </c:numCache>
            </c:numRef>
          </c:cat>
          <c:val>
            <c:numRef>
              <c:f>Sheet1!$D$2:$D$25</c:f>
              <c:numCache>
                <c:formatCode>0;\-0;0;@</c:formatCode>
                <c:ptCount val="24"/>
                <c:pt idx="0">
                  <c:v>111.2</c:v>
                </c:pt>
                <c:pt idx="1">
                  <c:v>111.6</c:v>
                </c:pt>
                <c:pt idx="2">
                  <c:v>112.1</c:v>
                </c:pt>
                <c:pt idx="3">
                  <c:v>112.4</c:v>
                </c:pt>
                <c:pt idx="4">
                  <c:v>112.6</c:v>
                </c:pt>
                <c:pt idx="5">
                  <c:v>111.2</c:v>
                </c:pt>
                <c:pt idx="6">
                  <c:v>111.7</c:v>
                </c:pt>
                <c:pt idx="7">
                  <c:v>112.3</c:v>
                </c:pt>
                <c:pt idx="8">
                  <c:v>112.8</c:v>
                </c:pt>
                <c:pt idx="9">
                  <c:v>113.6</c:v>
                </c:pt>
                <c:pt idx="10">
                  <c:v>114.9</c:v>
                </c:pt>
                <c:pt idx="11">
                  <c:v>116.4</c:v>
                </c:pt>
                <c:pt idx="12">
                  <c:v>118.3</c:v>
                </c:pt>
                <c:pt idx="13">
                  <c:v>120</c:v>
                </c:pt>
                <c:pt idx="14">
                  <c:v>122.3</c:v>
                </c:pt>
                <c:pt idx="15">
                  <c:v>123.2</c:v>
                </c:pt>
                <c:pt idx="16">
                  <c:v>124.1</c:v>
                </c:pt>
                <c:pt idx="17">
                  <c:v>124.7</c:v>
                </c:pt>
                <c:pt idx="18">
                  <c:v>127</c:v>
                </c:pt>
                <c:pt idx="19">
                  <c:v>128.19999999999999</c:v>
                </c:pt>
                <c:pt idx="20">
                  <c:v>129.4</c:v>
                </c:pt>
                <c:pt idx="21">
                  <c:v>130.69999999999999</c:v>
                </c:pt>
                <c:pt idx="22">
                  <c:v>132</c:v>
                </c:pt>
                <c:pt idx="23">
                  <c:v>133</c:v>
                </c:pt>
              </c:numCache>
            </c:numRef>
          </c:val>
          <c:smooth val="1"/>
          <c:extLst>
            <c:ext xmlns:c16="http://schemas.microsoft.com/office/drawing/2014/chart" uri="{C3380CC4-5D6E-409C-BE32-E72D297353CC}">
              <c16:uniqueId val="{00000002-26D2-4116-BD08-3964E7AFFBAC}"/>
            </c:ext>
          </c:extLst>
        </c:ser>
        <c:dLbls>
          <c:showLegendKey val="0"/>
          <c:showVal val="0"/>
          <c:showCatName val="0"/>
          <c:showSerName val="0"/>
          <c:showPercent val="0"/>
          <c:showBubbleSize val="0"/>
        </c:dLbls>
        <c:smooth val="0"/>
        <c:axId val="356793904"/>
        <c:axId val="356780944"/>
      </c:lineChart>
      <c:dateAx>
        <c:axId val="356793904"/>
        <c:scaling>
          <c:orientation val="minMax"/>
        </c:scaling>
        <c:delete val="0"/>
        <c:axPos val="b"/>
        <c:numFmt formatCode="yyyy" sourceLinked="0"/>
        <c:majorTickMark val="in"/>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356780944"/>
        <c:crosses val="autoZero"/>
        <c:auto val="1"/>
        <c:lblOffset val="100"/>
        <c:baseTimeUnit val="months"/>
        <c:majorUnit val="12"/>
        <c:majorTimeUnit val="months"/>
      </c:dateAx>
      <c:valAx>
        <c:axId val="356780944"/>
        <c:scaling>
          <c:orientation val="minMax"/>
          <c:min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solidFill>
                      <a:schemeClr val="tx1">
                        <a:lumMod val="95000"/>
                        <a:lumOff val="5000"/>
                      </a:schemeClr>
                    </a:solidFill>
                  </a:rPr>
                  <a:t>Index number</a:t>
                </a:r>
              </a:p>
            </c:rich>
          </c:tx>
          <c:layout>
            <c:manualLayout>
              <c:xMode val="edge"/>
              <c:yMode val="edge"/>
              <c:x val="2.0289809279458046E-2"/>
              <c:y val="0.232683941213579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356793904"/>
        <c:crosses val="autoZero"/>
        <c:crossBetween val="between"/>
        <c:majorUnit val="20"/>
      </c:valAx>
      <c:spPr>
        <a:noFill/>
        <a:ln>
          <a:noFill/>
        </a:ln>
        <a:effectLst/>
      </c:spPr>
    </c:plotArea>
    <c:legend>
      <c:legendPos val="t"/>
      <c:layout>
        <c:manualLayout>
          <c:xMode val="edge"/>
          <c:yMode val="edge"/>
          <c:x val="3.0892714955574375E-2"/>
          <c:y val="2.8927155618900753E-2"/>
          <c:w val="0.94541661072329208"/>
          <c:h val="0.168908930894024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cdr:x>
      <cdr:y>0.16375</cdr:y>
    </cdr:from>
    <cdr:to>
      <cdr:x>0.05095</cdr:x>
      <cdr:y>0.66369</cdr:y>
    </cdr:to>
    <cdr:sp macro="" textlink="">
      <cdr:nvSpPr>
        <cdr:cNvPr id="5" name="TextBox 4">
          <a:extLst xmlns:a="http://schemas.openxmlformats.org/drawingml/2006/main">
            <a:ext uri="{FF2B5EF4-FFF2-40B4-BE49-F238E27FC236}">
              <a16:creationId xmlns:a16="http://schemas.microsoft.com/office/drawing/2014/main" id="{C4CC3573-E873-57D9-DC76-4AB54365C325}"/>
            </a:ext>
          </a:extLst>
        </cdr:cNvPr>
        <cdr:cNvSpPr txBox="1"/>
      </cdr:nvSpPr>
      <cdr:spPr>
        <a:xfrm xmlns:a="http://schemas.openxmlformats.org/drawingml/2006/main">
          <a:off x="0" y="677218"/>
          <a:ext cx="365818" cy="2067629"/>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n-AU" sz="1100">
              <a:solidFill>
                <a:schemeClr val="tx1">
                  <a:lumMod val="85000"/>
                  <a:lumOff val="15000"/>
                </a:schemeClr>
              </a:solidFill>
            </a:rPr>
            <a:t>Average daily rate</a:t>
          </a:r>
          <a:r>
            <a:rPr lang="en-AU" sz="1100" baseline="0">
              <a:solidFill>
                <a:schemeClr val="tx1">
                  <a:lumMod val="85000"/>
                  <a:lumOff val="15000"/>
                </a:schemeClr>
              </a:solidFill>
            </a:rPr>
            <a:t> (</a:t>
          </a:r>
          <a:r>
            <a:rPr lang="en-AU" sz="1100">
              <a:solidFill>
                <a:schemeClr val="tx1">
                  <a:lumMod val="85000"/>
                  <a:lumOff val="15000"/>
                </a:schemeClr>
              </a:solidFill>
            </a:rPr>
            <a:t>$)</a:t>
          </a:r>
        </a:p>
      </cdr:txBody>
    </cdr:sp>
  </cdr:relSizeAnchor>
  <cdr:relSizeAnchor xmlns:cdr="http://schemas.openxmlformats.org/drawingml/2006/chartDrawing">
    <cdr:from>
      <cdr:x>0.94657</cdr:x>
      <cdr:y>0.0696</cdr:y>
    </cdr:from>
    <cdr:to>
      <cdr:x>0.99751</cdr:x>
      <cdr:y>0.89441</cdr:y>
    </cdr:to>
    <cdr:sp macro="" textlink="">
      <cdr:nvSpPr>
        <cdr:cNvPr id="7" name="TextBox 1">
          <a:extLst xmlns:a="http://schemas.openxmlformats.org/drawingml/2006/main">
            <a:ext uri="{FF2B5EF4-FFF2-40B4-BE49-F238E27FC236}">
              <a16:creationId xmlns:a16="http://schemas.microsoft.com/office/drawing/2014/main" id="{8AEB3386-38BF-3209-4A6C-9D9675198475}"/>
            </a:ext>
          </a:extLst>
        </cdr:cNvPr>
        <cdr:cNvSpPr txBox="1"/>
      </cdr:nvSpPr>
      <cdr:spPr>
        <a:xfrm xmlns:a="http://schemas.openxmlformats.org/drawingml/2006/main">
          <a:off x="4922779" y="213466"/>
          <a:ext cx="264921" cy="2529733"/>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chemeClr val="tx1">
                  <a:lumMod val="85000"/>
                  <a:lumOff val="15000"/>
                </a:schemeClr>
              </a:solidFill>
            </a:rPr>
            <a:t>Revenue</a:t>
          </a:r>
          <a:r>
            <a:rPr lang="en-AU" sz="1100" baseline="0">
              <a:solidFill>
                <a:schemeClr val="tx1">
                  <a:lumMod val="85000"/>
                  <a:lumOff val="15000"/>
                </a:schemeClr>
              </a:solidFill>
            </a:rPr>
            <a:t> per available ro</a:t>
          </a:r>
          <a:r>
            <a:rPr lang="en-AU" sz="1100">
              <a:solidFill>
                <a:schemeClr val="tx1">
                  <a:lumMod val="85000"/>
                  <a:lumOff val="15000"/>
                </a:schemeClr>
              </a:solidFill>
            </a:rPr>
            <a:t>om </a:t>
          </a:r>
          <a:r>
            <a:rPr lang="en-AU" sz="1100" baseline="0">
              <a:solidFill>
                <a:schemeClr val="tx1">
                  <a:lumMod val="85000"/>
                  <a:lumOff val="15000"/>
                </a:schemeClr>
              </a:solidFill>
            </a:rPr>
            <a:t>(</a:t>
          </a:r>
          <a:r>
            <a:rPr lang="en-AU" sz="1100">
              <a:solidFill>
                <a:schemeClr val="tx1">
                  <a:lumMod val="85000"/>
                  <a:lumOff val="15000"/>
                </a:schemeClr>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0.4996</cdr:x>
      <cdr:y>0</cdr:y>
    </cdr:from>
    <cdr:to>
      <cdr:x>0.4996</cdr:x>
      <cdr:y>0.88</cdr:y>
    </cdr:to>
    <cdr:cxnSp macro="">
      <cdr:nvCxnSpPr>
        <cdr:cNvPr id="3" name="Straight Connector 2"/>
        <cdr:cNvCxnSpPr/>
      </cdr:nvCxnSpPr>
      <cdr:spPr>
        <a:xfrm xmlns:a="http://schemas.openxmlformats.org/drawingml/2006/main">
          <a:off x="3162300" y="0"/>
          <a:ext cx="0" cy="2305050"/>
        </a:xfrm>
        <a:prstGeom xmlns:a="http://schemas.openxmlformats.org/drawingml/2006/main" prst="line">
          <a:avLst/>
        </a:prstGeom>
        <a:ln xmlns:a="http://schemas.openxmlformats.org/drawingml/2006/main">
          <a:solidFill>
            <a:schemeClr val="tx1">
              <a:lumMod val="85000"/>
              <a:lumOff val="1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0.56355</cdr:x>
      <cdr:y>0.40956</cdr:y>
    </cdr:from>
    <cdr:to>
      <cdr:x>1</cdr:x>
      <cdr:y>1</cdr:y>
    </cdr:to>
    <cdr:pic>
      <cdr:nvPicPr>
        <cdr:cNvPr id="2" name="Content Placeholder 9" descr="shows a map of the world with lines radiating out of Australia to regions across the globe. The lines are varying thicknesses, in line with the amount of inbound aviation capacity available between Australia and that region">
          <a:extLst xmlns:a="http://schemas.openxmlformats.org/drawingml/2006/main">
            <a:ext uri="{FF2B5EF4-FFF2-40B4-BE49-F238E27FC236}">
              <a16:creationId xmlns:a16="http://schemas.microsoft.com/office/drawing/2014/main" id="{6C3DD776-A9CB-9C8A-7194-666A12F84F1B}"/>
            </a:ext>
          </a:extLst>
        </cdr:cNvPr>
        <cdr:cNvPicPr>
          <a:picLocks xmlns:a="http://schemas.openxmlformats.org/drawingml/2006/main" noGrp="1" noChangeAspect="1"/>
        </cdr:cNvPicPr>
      </cdr:nvPicPr>
      <cdr:blipFill rotWithShape="1">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l="3049" t="4174" r="26066" b="29708"/>
        <a:stretch xmlns:a="http://schemas.openxmlformats.org/drawingml/2006/main"/>
      </cdr:blipFill>
      <cdr:spPr bwMode="auto">
        <a:xfrm xmlns:a="http://schemas.openxmlformats.org/drawingml/2006/main">
          <a:off x="3567119" y="1143000"/>
          <a:ext cx="2762561" cy="164782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Austrade Brand Theme">
  <a:themeElements>
    <a:clrScheme name="Austrade Brand theme">
      <a:dk1>
        <a:srgbClr val="000000"/>
      </a:dk1>
      <a:lt1>
        <a:srgbClr val="FFFFFF"/>
      </a:lt1>
      <a:dk2>
        <a:srgbClr val="300050"/>
      </a:dk2>
      <a:lt2>
        <a:srgbClr val="893B94"/>
      </a:lt2>
      <a:accent1>
        <a:srgbClr val="893B94"/>
      </a:accent1>
      <a:accent2>
        <a:srgbClr val="300050"/>
      </a:accent2>
      <a:accent3>
        <a:srgbClr val="E3E1DB"/>
      </a:accent3>
      <a:accent4>
        <a:srgbClr val="C78570"/>
      </a:accent4>
      <a:accent5>
        <a:srgbClr val="D2C3BE"/>
      </a:accent5>
      <a:accent6>
        <a:srgbClr val="C7A5FF"/>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Brand Theme" id="{B7B3077C-12EC-4E43-A7AB-503D32ACE655}" vid="{FE9A3E5A-5EFE-412F-BA99-1D3D9BDE5E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8" ma:contentTypeDescription="Create a new document." ma:contentTypeScope="" ma:versionID="66fe7816eb518ad386b95b1a3cc7f7ad">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a6ccc5dc2d543b47127149831d2e33f9"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38FE75B8-1135-4512-93FA-FCDD832F13E7}">
  <ds:schemaRefs>
    <ds:schemaRef ds:uri="84193d32-96af-42bb-9a8d-e389b6b013dc"/>
    <ds:schemaRef ds:uri="http://purl.org/dc/dcmitype/"/>
    <ds:schemaRef ds:uri="http://schemas.microsoft.com/office/2006/documentManagement/types"/>
    <ds:schemaRef ds:uri="932d29ee-28c9-41bc-b9e4-7f2eba331d28"/>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8995849B-23A9-4160-8E1C-BEF925F2D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1</TotalTime>
  <Pages>43</Pages>
  <Words>11414</Words>
  <Characters>65060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Tourism Research Australia (Austrade)</Company>
  <LinksUpToDate>false</LinksUpToDate>
  <CharactersWithSpaces>76322</CharactersWithSpaces>
  <SharedDoc>false</SharedDoc>
  <HLinks>
    <vt:vector size="276" baseType="variant">
      <vt:variant>
        <vt:i4>3014757</vt:i4>
      </vt:variant>
      <vt:variant>
        <vt:i4>267</vt:i4>
      </vt:variant>
      <vt:variant>
        <vt:i4>0</vt:i4>
      </vt:variant>
      <vt:variant>
        <vt:i4>5</vt:i4>
      </vt:variant>
      <vt:variant>
        <vt:lpwstr>https://www.unwto.org/tourism-data/un-tourism-tourism-dashboard</vt:lpwstr>
      </vt:variant>
      <vt:variant>
        <vt:lpwstr/>
      </vt:variant>
      <vt:variant>
        <vt:i4>6357043</vt:i4>
      </vt:variant>
      <vt:variant>
        <vt:i4>264</vt:i4>
      </vt:variant>
      <vt:variant>
        <vt:i4>0</vt:i4>
      </vt:variant>
      <vt:variant>
        <vt:i4>5</vt:i4>
      </vt:variant>
      <vt:variant>
        <vt:lpwstr>https://www.iata.org/en/pressroom/2025-releases/2025-01-30-01/</vt:lpwstr>
      </vt:variant>
      <vt:variant>
        <vt:lpwstr>:~:text=International%20full%2Dyear%20traffic%20in,while%20capacity%20expanded%20by%202.5%25.</vt:lpwstr>
      </vt:variant>
      <vt:variant>
        <vt:i4>7405695</vt:i4>
      </vt:variant>
      <vt:variant>
        <vt:i4>261</vt:i4>
      </vt:variant>
      <vt:variant>
        <vt:i4>0</vt:i4>
      </vt:variant>
      <vt:variant>
        <vt:i4>5</vt:i4>
      </vt:variant>
      <vt:variant>
        <vt:lpwstr>https://www.jobsandskills.gov.au/data/skills-shortages-analysis</vt:lpwstr>
      </vt:variant>
      <vt:variant>
        <vt:lpwstr/>
      </vt:variant>
      <vt:variant>
        <vt:i4>1703936</vt:i4>
      </vt:variant>
      <vt:variant>
        <vt:i4>258</vt:i4>
      </vt:variant>
      <vt:variant>
        <vt:i4>0</vt:i4>
      </vt:variant>
      <vt:variant>
        <vt:i4>5</vt:i4>
      </vt:variant>
      <vt:variant>
        <vt:lpwstr>https://www.jobsandskills.gov.au/work/internet-vacancy-index</vt:lpwstr>
      </vt:variant>
      <vt:variant>
        <vt:lpwstr/>
      </vt:variant>
      <vt:variant>
        <vt:i4>8257641</vt:i4>
      </vt:variant>
      <vt:variant>
        <vt:i4>255</vt:i4>
      </vt:variant>
      <vt:variant>
        <vt:i4>0</vt:i4>
      </vt:variant>
      <vt:variant>
        <vt:i4>5</vt:i4>
      </vt:variant>
      <vt:variant>
        <vt:lpwstr>https://www.tra.gov.au/en/economic-analysis/tourism-investment-monitor</vt:lpwstr>
      </vt:variant>
      <vt:variant>
        <vt:lpwstr/>
      </vt:variant>
      <vt:variant>
        <vt:i4>655430</vt:i4>
      </vt:variant>
      <vt:variant>
        <vt:i4>252</vt:i4>
      </vt:variant>
      <vt:variant>
        <vt:i4>0</vt:i4>
      </vt:variant>
      <vt:variant>
        <vt:i4>5</vt:i4>
      </vt:variant>
      <vt:variant>
        <vt:lpwstr>https://www.tra.gov.au/en/economic-analysis/tourism-forecasts</vt:lpwstr>
      </vt:variant>
      <vt:variant>
        <vt:lpwstr/>
      </vt:variant>
      <vt:variant>
        <vt:i4>7077931</vt:i4>
      </vt:variant>
      <vt:variant>
        <vt:i4>249</vt:i4>
      </vt:variant>
      <vt:variant>
        <vt:i4>0</vt:i4>
      </vt:variant>
      <vt:variant>
        <vt:i4>5</vt:i4>
      </vt:variant>
      <vt:variant>
        <vt:lpwstr>https://www.tra.gov.au/en/economic-analysis/tourism-businesses</vt:lpwstr>
      </vt:variant>
      <vt:variant>
        <vt:lpwstr/>
      </vt:variant>
      <vt:variant>
        <vt:i4>2293812</vt:i4>
      </vt:variant>
      <vt:variant>
        <vt:i4>246</vt:i4>
      </vt:variant>
      <vt:variant>
        <vt:i4>0</vt:i4>
      </vt:variant>
      <vt:variant>
        <vt:i4>5</vt:i4>
      </vt:variant>
      <vt:variant>
        <vt:lpwstr>https://www.tra.gov.au/en/economic-analysis/tourism-satellite-accounts/state-tourism-satellite-account</vt:lpwstr>
      </vt:variant>
      <vt:variant>
        <vt:lpwstr/>
      </vt:variant>
      <vt:variant>
        <vt:i4>5701696</vt:i4>
      </vt:variant>
      <vt:variant>
        <vt:i4>243</vt:i4>
      </vt:variant>
      <vt:variant>
        <vt:i4>0</vt:i4>
      </vt:variant>
      <vt:variant>
        <vt:i4>5</vt:i4>
      </vt:variant>
      <vt:variant>
        <vt:lpwstr>https://www.tra.gov.au/en/economic-analysis/quarterly-tourism-labour-force-statistics</vt:lpwstr>
      </vt:variant>
      <vt:variant>
        <vt:lpwstr/>
      </vt:variant>
      <vt:variant>
        <vt:i4>7209005</vt:i4>
      </vt:variant>
      <vt:variant>
        <vt:i4>240</vt:i4>
      </vt:variant>
      <vt:variant>
        <vt:i4>0</vt:i4>
      </vt:variant>
      <vt:variant>
        <vt:i4>5</vt:i4>
      </vt:variant>
      <vt:variant>
        <vt:lpwstr>https://www.tra.gov.au/en/domestic/domestic-tourism-results</vt:lpwstr>
      </vt:variant>
      <vt:variant>
        <vt:lpwstr/>
      </vt:variant>
      <vt:variant>
        <vt:i4>5177356</vt:i4>
      </vt:variant>
      <vt:variant>
        <vt:i4>237</vt:i4>
      </vt:variant>
      <vt:variant>
        <vt:i4>0</vt:i4>
      </vt:variant>
      <vt:variant>
        <vt:i4>5</vt:i4>
      </vt:variant>
      <vt:variant>
        <vt:lpwstr>https://www.tra.gov.au/en/international/international-tourism-results</vt:lpwstr>
      </vt:variant>
      <vt:variant>
        <vt:lpwstr/>
      </vt:variant>
      <vt:variant>
        <vt:i4>327709</vt:i4>
      </vt:variant>
      <vt:variant>
        <vt:i4>234</vt:i4>
      </vt:variant>
      <vt:variant>
        <vt:i4>0</vt:i4>
      </vt:variant>
      <vt:variant>
        <vt:i4>5</vt:i4>
      </vt:variant>
      <vt:variant>
        <vt:lpwstr>https://www.tra.gov.au/en/economic-analysis/business-events-data</vt:lpwstr>
      </vt:variant>
      <vt:variant>
        <vt:lpwstr/>
      </vt:variant>
      <vt:variant>
        <vt:i4>7012432</vt:i4>
      </vt:variant>
      <vt:variant>
        <vt:i4>231</vt:i4>
      </vt:variant>
      <vt:variant>
        <vt:i4>0</vt:i4>
      </vt:variant>
      <vt:variant>
        <vt:i4>5</vt:i4>
      </vt:variant>
      <vt:variant>
        <vt:lpwstr>https://www.bitre.gov.au/publications/ongoing/domestic_airline_activity-time_series</vt:lpwstr>
      </vt:variant>
      <vt:variant>
        <vt:lpwstr/>
      </vt:variant>
      <vt:variant>
        <vt:i4>7077968</vt:i4>
      </vt:variant>
      <vt:variant>
        <vt:i4>228</vt:i4>
      </vt:variant>
      <vt:variant>
        <vt:i4>0</vt:i4>
      </vt:variant>
      <vt:variant>
        <vt:i4>5</vt:i4>
      </vt:variant>
      <vt:variant>
        <vt:lpwstr>https://www.bitre.gov.au/publications/ongoing/international_airline_activity-time_series</vt:lpwstr>
      </vt:variant>
      <vt:variant>
        <vt:lpwstr/>
      </vt:variant>
      <vt:variant>
        <vt:i4>6815861</vt:i4>
      </vt:variant>
      <vt:variant>
        <vt:i4>225</vt:i4>
      </vt:variant>
      <vt:variant>
        <vt:i4>0</vt:i4>
      </vt:variant>
      <vt:variant>
        <vt:i4>5</vt:i4>
      </vt:variant>
      <vt:variant>
        <vt:lpwstr>https://www.abs.gov.au/statistics/economy/finance/monthly-household-spending-indicator/dec-2024</vt:lpwstr>
      </vt:variant>
      <vt:variant>
        <vt:lpwstr/>
      </vt:variant>
      <vt:variant>
        <vt:i4>5177348</vt:i4>
      </vt:variant>
      <vt:variant>
        <vt:i4>222</vt:i4>
      </vt:variant>
      <vt:variant>
        <vt:i4>0</vt:i4>
      </vt:variant>
      <vt:variant>
        <vt:i4>5</vt:i4>
      </vt:variant>
      <vt:variant>
        <vt:lpwstr>https://www.abs.gov.au/statistics/economy/national-accounts/tourism-satellite-account/latest-release</vt:lpwstr>
      </vt:variant>
      <vt:variant>
        <vt:lpwstr/>
      </vt:variant>
      <vt:variant>
        <vt:i4>1048600</vt:i4>
      </vt:variant>
      <vt:variant>
        <vt:i4>219</vt:i4>
      </vt:variant>
      <vt:variant>
        <vt:i4>0</vt:i4>
      </vt:variant>
      <vt:variant>
        <vt:i4>5</vt:i4>
      </vt:variant>
      <vt:variant>
        <vt:lpwstr>https://www.abs.gov.au/statistics/industry/tourism-and-transport/overseas-arrivals-and-departures-australia/dec-2024</vt:lpwstr>
      </vt:variant>
      <vt:variant>
        <vt:lpwstr/>
      </vt:variant>
      <vt:variant>
        <vt:i4>2883685</vt:i4>
      </vt:variant>
      <vt:variant>
        <vt:i4>138</vt:i4>
      </vt:variant>
      <vt:variant>
        <vt:i4>0</vt:i4>
      </vt:variant>
      <vt:variant>
        <vt:i4>5</vt:i4>
      </vt:variant>
      <vt:variant>
        <vt:lpwstr>https://www.tra.gov.au/en/economic-analysis/longitudinal-indicators-for-the-visitor-economy</vt:lpwstr>
      </vt:variant>
      <vt:variant>
        <vt:lpwstr/>
      </vt:variant>
      <vt:variant>
        <vt:i4>1048628</vt:i4>
      </vt:variant>
      <vt:variant>
        <vt:i4>128</vt:i4>
      </vt:variant>
      <vt:variant>
        <vt:i4>0</vt:i4>
      </vt:variant>
      <vt:variant>
        <vt:i4>5</vt:i4>
      </vt:variant>
      <vt:variant>
        <vt:lpwstr/>
      </vt:variant>
      <vt:variant>
        <vt:lpwstr>_Toc200703631</vt:lpwstr>
      </vt:variant>
      <vt:variant>
        <vt:i4>1048628</vt:i4>
      </vt:variant>
      <vt:variant>
        <vt:i4>122</vt:i4>
      </vt:variant>
      <vt:variant>
        <vt:i4>0</vt:i4>
      </vt:variant>
      <vt:variant>
        <vt:i4>5</vt:i4>
      </vt:variant>
      <vt:variant>
        <vt:lpwstr/>
      </vt:variant>
      <vt:variant>
        <vt:lpwstr>_Toc200703630</vt:lpwstr>
      </vt:variant>
      <vt:variant>
        <vt:i4>1114164</vt:i4>
      </vt:variant>
      <vt:variant>
        <vt:i4>116</vt:i4>
      </vt:variant>
      <vt:variant>
        <vt:i4>0</vt:i4>
      </vt:variant>
      <vt:variant>
        <vt:i4>5</vt:i4>
      </vt:variant>
      <vt:variant>
        <vt:lpwstr/>
      </vt:variant>
      <vt:variant>
        <vt:lpwstr>_Toc200703629</vt:lpwstr>
      </vt:variant>
      <vt:variant>
        <vt:i4>1114164</vt:i4>
      </vt:variant>
      <vt:variant>
        <vt:i4>110</vt:i4>
      </vt:variant>
      <vt:variant>
        <vt:i4>0</vt:i4>
      </vt:variant>
      <vt:variant>
        <vt:i4>5</vt:i4>
      </vt:variant>
      <vt:variant>
        <vt:lpwstr/>
      </vt:variant>
      <vt:variant>
        <vt:lpwstr>_Toc200703628</vt:lpwstr>
      </vt:variant>
      <vt:variant>
        <vt:i4>1114164</vt:i4>
      </vt:variant>
      <vt:variant>
        <vt:i4>104</vt:i4>
      </vt:variant>
      <vt:variant>
        <vt:i4>0</vt:i4>
      </vt:variant>
      <vt:variant>
        <vt:i4>5</vt:i4>
      </vt:variant>
      <vt:variant>
        <vt:lpwstr/>
      </vt:variant>
      <vt:variant>
        <vt:lpwstr>_Toc200703627</vt:lpwstr>
      </vt:variant>
      <vt:variant>
        <vt:i4>1114164</vt:i4>
      </vt:variant>
      <vt:variant>
        <vt:i4>98</vt:i4>
      </vt:variant>
      <vt:variant>
        <vt:i4>0</vt:i4>
      </vt:variant>
      <vt:variant>
        <vt:i4>5</vt:i4>
      </vt:variant>
      <vt:variant>
        <vt:lpwstr/>
      </vt:variant>
      <vt:variant>
        <vt:lpwstr>_Toc200703626</vt:lpwstr>
      </vt:variant>
      <vt:variant>
        <vt:i4>1114164</vt:i4>
      </vt:variant>
      <vt:variant>
        <vt:i4>92</vt:i4>
      </vt:variant>
      <vt:variant>
        <vt:i4>0</vt:i4>
      </vt:variant>
      <vt:variant>
        <vt:i4>5</vt:i4>
      </vt:variant>
      <vt:variant>
        <vt:lpwstr/>
      </vt:variant>
      <vt:variant>
        <vt:lpwstr>_Toc200703625</vt:lpwstr>
      </vt:variant>
      <vt:variant>
        <vt:i4>1114164</vt:i4>
      </vt:variant>
      <vt:variant>
        <vt:i4>86</vt:i4>
      </vt:variant>
      <vt:variant>
        <vt:i4>0</vt:i4>
      </vt:variant>
      <vt:variant>
        <vt:i4>5</vt:i4>
      </vt:variant>
      <vt:variant>
        <vt:lpwstr/>
      </vt:variant>
      <vt:variant>
        <vt:lpwstr>_Toc200703624</vt:lpwstr>
      </vt:variant>
      <vt:variant>
        <vt:i4>1114164</vt:i4>
      </vt:variant>
      <vt:variant>
        <vt:i4>80</vt:i4>
      </vt:variant>
      <vt:variant>
        <vt:i4>0</vt:i4>
      </vt:variant>
      <vt:variant>
        <vt:i4>5</vt:i4>
      </vt:variant>
      <vt:variant>
        <vt:lpwstr/>
      </vt:variant>
      <vt:variant>
        <vt:lpwstr>_Toc200703623</vt:lpwstr>
      </vt:variant>
      <vt:variant>
        <vt:i4>1114164</vt:i4>
      </vt:variant>
      <vt:variant>
        <vt:i4>74</vt:i4>
      </vt:variant>
      <vt:variant>
        <vt:i4>0</vt:i4>
      </vt:variant>
      <vt:variant>
        <vt:i4>5</vt:i4>
      </vt:variant>
      <vt:variant>
        <vt:lpwstr/>
      </vt:variant>
      <vt:variant>
        <vt:lpwstr>_Toc200703622</vt:lpwstr>
      </vt:variant>
      <vt:variant>
        <vt:i4>1114164</vt:i4>
      </vt:variant>
      <vt:variant>
        <vt:i4>68</vt:i4>
      </vt:variant>
      <vt:variant>
        <vt:i4>0</vt:i4>
      </vt:variant>
      <vt:variant>
        <vt:i4>5</vt:i4>
      </vt:variant>
      <vt:variant>
        <vt:lpwstr/>
      </vt:variant>
      <vt:variant>
        <vt:lpwstr>_Toc200703621</vt:lpwstr>
      </vt:variant>
      <vt:variant>
        <vt:i4>1114164</vt:i4>
      </vt:variant>
      <vt:variant>
        <vt:i4>62</vt:i4>
      </vt:variant>
      <vt:variant>
        <vt:i4>0</vt:i4>
      </vt:variant>
      <vt:variant>
        <vt:i4>5</vt:i4>
      </vt:variant>
      <vt:variant>
        <vt:lpwstr/>
      </vt:variant>
      <vt:variant>
        <vt:lpwstr>_Toc200703620</vt:lpwstr>
      </vt:variant>
      <vt:variant>
        <vt:i4>1179700</vt:i4>
      </vt:variant>
      <vt:variant>
        <vt:i4>56</vt:i4>
      </vt:variant>
      <vt:variant>
        <vt:i4>0</vt:i4>
      </vt:variant>
      <vt:variant>
        <vt:i4>5</vt:i4>
      </vt:variant>
      <vt:variant>
        <vt:lpwstr/>
      </vt:variant>
      <vt:variant>
        <vt:lpwstr>_Toc200703619</vt:lpwstr>
      </vt:variant>
      <vt:variant>
        <vt:i4>1179700</vt:i4>
      </vt:variant>
      <vt:variant>
        <vt:i4>50</vt:i4>
      </vt:variant>
      <vt:variant>
        <vt:i4>0</vt:i4>
      </vt:variant>
      <vt:variant>
        <vt:i4>5</vt:i4>
      </vt:variant>
      <vt:variant>
        <vt:lpwstr/>
      </vt:variant>
      <vt:variant>
        <vt:lpwstr>_Toc200703618</vt:lpwstr>
      </vt:variant>
      <vt:variant>
        <vt:i4>1179700</vt:i4>
      </vt:variant>
      <vt:variant>
        <vt:i4>44</vt:i4>
      </vt:variant>
      <vt:variant>
        <vt:i4>0</vt:i4>
      </vt:variant>
      <vt:variant>
        <vt:i4>5</vt:i4>
      </vt:variant>
      <vt:variant>
        <vt:lpwstr/>
      </vt:variant>
      <vt:variant>
        <vt:lpwstr>_Toc200703617</vt:lpwstr>
      </vt:variant>
      <vt:variant>
        <vt:i4>1179700</vt:i4>
      </vt:variant>
      <vt:variant>
        <vt:i4>38</vt:i4>
      </vt:variant>
      <vt:variant>
        <vt:i4>0</vt:i4>
      </vt:variant>
      <vt:variant>
        <vt:i4>5</vt:i4>
      </vt:variant>
      <vt:variant>
        <vt:lpwstr/>
      </vt:variant>
      <vt:variant>
        <vt:lpwstr>_Toc200703616</vt:lpwstr>
      </vt:variant>
      <vt:variant>
        <vt:i4>1179700</vt:i4>
      </vt:variant>
      <vt:variant>
        <vt:i4>32</vt:i4>
      </vt:variant>
      <vt:variant>
        <vt:i4>0</vt:i4>
      </vt:variant>
      <vt:variant>
        <vt:i4>5</vt:i4>
      </vt:variant>
      <vt:variant>
        <vt:lpwstr/>
      </vt:variant>
      <vt:variant>
        <vt:lpwstr>_Toc200703615</vt:lpwstr>
      </vt:variant>
      <vt:variant>
        <vt:i4>1179700</vt:i4>
      </vt:variant>
      <vt:variant>
        <vt:i4>26</vt:i4>
      </vt:variant>
      <vt:variant>
        <vt:i4>0</vt:i4>
      </vt:variant>
      <vt:variant>
        <vt:i4>5</vt:i4>
      </vt:variant>
      <vt:variant>
        <vt:lpwstr/>
      </vt:variant>
      <vt:variant>
        <vt:lpwstr>_Toc200703614</vt:lpwstr>
      </vt:variant>
      <vt:variant>
        <vt:i4>1179700</vt:i4>
      </vt:variant>
      <vt:variant>
        <vt:i4>20</vt:i4>
      </vt:variant>
      <vt:variant>
        <vt:i4>0</vt:i4>
      </vt:variant>
      <vt:variant>
        <vt:i4>5</vt:i4>
      </vt:variant>
      <vt:variant>
        <vt:lpwstr/>
      </vt:variant>
      <vt:variant>
        <vt:lpwstr>_Toc200703613</vt:lpwstr>
      </vt:variant>
      <vt:variant>
        <vt:i4>4915212</vt:i4>
      </vt:variant>
      <vt:variant>
        <vt:i4>15</vt:i4>
      </vt:variant>
      <vt:variant>
        <vt:i4>0</vt:i4>
      </vt:variant>
      <vt:variant>
        <vt:i4>5</vt:i4>
      </vt:variant>
      <vt:variant>
        <vt:lpwstr>C:\Users\corrine-rose\AppData\Local\Microsoft\Windows\INetCache\Content.Outlook\2Z3XW8LL\pmc.gov.au\ government\commonwealth-coat-arms</vt:lpwstr>
      </vt:variant>
      <vt:variant>
        <vt:lpwstr/>
      </vt:variant>
      <vt:variant>
        <vt:i4>4259898</vt:i4>
      </vt:variant>
      <vt:variant>
        <vt:i4>12</vt:i4>
      </vt:variant>
      <vt:variant>
        <vt:i4>0</vt:i4>
      </vt:variant>
      <vt:variant>
        <vt:i4>5</vt:i4>
      </vt:variant>
      <vt:variant>
        <vt:lpwstr>mailto:advisory@austrade.gov.au</vt:lpwstr>
      </vt:variant>
      <vt:variant>
        <vt:lpwstr/>
      </vt:variant>
      <vt:variant>
        <vt:i4>4980853</vt:i4>
      </vt:variant>
      <vt:variant>
        <vt:i4>9</vt:i4>
      </vt:variant>
      <vt:variant>
        <vt:i4>0</vt:i4>
      </vt:variant>
      <vt:variant>
        <vt:i4>5</vt:i4>
      </vt:variant>
      <vt:variant>
        <vt:lpwstr>mailto:tourism.research@tra.gov.au</vt:lpwstr>
      </vt:variant>
      <vt:variant>
        <vt:lpwstr/>
      </vt:variant>
      <vt:variant>
        <vt:i4>4128826</vt:i4>
      </vt:variant>
      <vt:variant>
        <vt:i4>6</vt:i4>
      </vt:variant>
      <vt:variant>
        <vt:i4>0</vt:i4>
      </vt:variant>
      <vt:variant>
        <vt:i4>5</vt:i4>
      </vt:variant>
      <vt:variant>
        <vt:lpwstr>https://www.tra.gov.au/en/economic-analysis/annual-benchmark-report</vt:lpwstr>
      </vt:variant>
      <vt:variant>
        <vt:lpwstr/>
      </vt:variant>
      <vt:variant>
        <vt:i4>6357048</vt:i4>
      </vt:variant>
      <vt:variant>
        <vt:i4>3</vt:i4>
      </vt:variant>
      <vt:variant>
        <vt:i4>0</vt:i4>
      </vt:variant>
      <vt:variant>
        <vt:i4>5</vt:i4>
      </vt:variant>
      <vt:variant>
        <vt:lpwstr>http://www.tra.gov.au/</vt:lpwstr>
      </vt:variant>
      <vt:variant>
        <vt:lpwstr/>
      </vt:variant>
      <vt:variant>
        <vt:i4>4980853</vt:i4>
      </vt:variant>
      <vt:variant>
        <vt:i4>0</vt:i4>
      </vt:variant>
      <vt:variant>
        <vt:i4>0</vt:i4>
      </vt:variant>
      <vt:variant>
        <vt:i4>5</vt:i4>
      </vt:variant>
      <vt:variant>
        <vt:lpwstr>mailto:tourism.research@tra.gov.au</vt:lpwstr>
      </vt:variant>
      <vt:variant>
        <vt:lpwstr/>
      </vt:variant>
      <vt:variant>
        <vt:i4>1769541</vt:i4>
      </vt:variant>
      <vt:variant>
        <vt:i4>6</vt:i4>
      </vt:variant>
      <vt:variant>
        <vt:i4>0</vt:i4>
      </vt:variant>
      <vt:variant>
        <vt:i4>5</vt:i4>
      </vt:variant>
      <vt:variant>
        <vt:lpwstr>https://www.olympics.com/ioc/news/all-you-need-to-know-about-impact-and-legacy-at-paris-2024-for-the-people-for-the-community-and-for-the-environment</vt:lpwstr>
      </vt:variant>
      <vt:variant>
        <vt:lpwstr/>
      </vt:variant>
      <vt:variant>
        <vt:i4>851978</vt:i4>
      </vt:variant>
      <vt:variant>
        <vt:i4>3</vt:i4>
      </vt:variant>
      <vt:variant>
        <vt:i4>0</vt:i4>
      </vt:variant>
      <vt:variant>
        <vt:i4>5</vt:i4>
      </vt:variant>
      <vt:variant>
        <vt:lpwstr>https://www.unwto.org/tourism-data/un-tourism-tracker</vt:lpwstr>
      </vt:variant>
      <vt:variant>
        <vt:lpwstr/>
      </vt:variant>
      <vt:variant>
        <vt:i4>7274530</vt:i4>
      </vt:variant>
      <vt:variant>
        <vt:i4>0</vt:i4>
      </vt:variant>
      <vt:variant>
        <vt:i4>0</vt:i4>
      </vt:variant>
      <vt:variant>
        <vt:i4>5</vt:i4>
      </vt:variant>
      <vt:variant>
        <vt:lpwstr>https://www.abs.gov.au/statistics/economy/finance/monthly-household-spending-indicator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benchmark report - Australia's visitor economy in 2024</dc:title>
  <dc:subject/>
  <dc:creator>Rachel-Sirr [Canberra]</dc:creator>
  <cp:keywords/>
  <dc:description/>
  <cp:lastModifiedBy>Corrine-Rose [Brisbane]</cp:lastModifiedBy>
  <cp:revision>2</cp:revision>
  <dcterms:created xsi:type="dcterms:W3CDTF">2025-06-16T03:04:00Z</dcterms:created>
  <dcterms:modified xsi:type="dcterms:W3CDTF">2025-06-16T03:04:00Z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ShapeIds">
    <vt:lpwstr>1a1a6581,41aad987,1ce2a4d6,7c37c8bf,68f667d5,3f6b22ee</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6d417f4a,632e275c,393106e3,2b4f1f14,230e1872,7a93c59e</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MSIP_Label_72160a83-df68-4146-9dd5-ccaae79426db_Enabled">
    <vt:lpwstr>true</vt:lpwstr>
  </property>
  <property fmtid="{D5CDD505-2E9C-101B-9397-08002B2CF9AE}" pid="28" name="MSIP_Label_72160a83-df68-4146-9dd5-ccaae79426db_SetDate">
    <vt:lpwstr>2024-11-07T01:54:51Z</vt:lpwstr>
  </property>
  <property fmtid="{D5CDD505-2E9C-101B-9397-08002B2CF9AE}" pid="29" name="MSIP_Label_72160a83-df68-4146-9dd5-ccaae79426db_Method">
    <vt:lpwstr>Privileged</vt:lpwstr>
  </property>
  <property fmtid="{D5CDD505-2E9C-101B-9397-08002B2CF9AE}" pid="30" name="MSIP_Label_72160a83-df68-4146-9dd5-ccaae79426db_Name">
    <vt:lpwstr>OFFICIAL</vt:lpwstr>
  </property>
  <property fmtid="{D5CDD505-2E9C-101B-9397-08002B2CF9AE}" pid="31" name="MSIP_Label_72160a83-df68-4146-9dd5-ccaae79426db_SiteId">
    <vt:lpwstr>c6ba7d27-a97a-40a4-82e4-4d23131de9f4</vt:lpwstr>
  </property>
  <property fmtid="{D5CDD505-2E9C-101B-9397-08002B2CF9AE}" pid="32" name="MSIP_Label_72160a83-df68-4146-9dd5-ccaae79426db_ActionId">
    <vt:lpwstr>9abcf624-2f2c-47b4-897c-8e1b073690df</vt:lpwstr>
  </property>
  <property fmtid="{D5CDD505-2E9C-101B-9397-08002B2CF9AE}" pid="33" name="MSIP_Label_72160a83-df68-4146-9dd5-ccaae79426db_ContentBits">
    <vt:lpwstr>3</vt:lpwstr>
  </property>
</Properties>
</file>