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bCs/>
        </w:rPr>
        <w:id w:val="-1649280474"/>
        <w:docPartObj>
          <w:docPartGallery w:val="Cover Pages"/>
          <w:docPartUnique/>
        </w:docPartObj>
      </w:sdtPr>
      <w:sdtEndPr>
        <w:rPr>
          <w:b w:val="0"/>
          <w:bCs w:val="0"/>
        </w:rPr>
      </w:sdtEndPr>
      <w:sdtContent>
        <w:p w14:paraId="69D52614" w14:textId="398C3BD7" w:rsidR="00501469" w:rsidRDefault="00F427E4">
          <w:pPr>
            <w:rPr>
              <w:b/>
              <w:bCs/>
            </w:rPr>
          </w:pPr>
          <w:r>
            <w:rPr>
              <w:noProof/>
            </w:rPr>
            <w:drawing>
              <wp:anchor distT="0" distB="0" distL="114300" distR="114300" simplePos="0" relativeHeight="251658241" behindDoc="0" locked="1" layoutInCell="1" allowOverlap="1" wp14:anchorId="4DBBB7AD" wp14:editId="3AEB4F14">
                <wp:simplePos x="0" y="0"/>
                <wp:positionH relativeFrom="column">
                  <wp:posOffset>-49530</wp:posOffset>
                </wp:positionH>
                <wp:positionV relativeFrom="page">
                  <wp:posOffset>376555</wp:posOffset>
                </wp:positionV>
                <wp:extent cx="3340800" cy="1105200"/>
                <wp:effectExtent l="0" t="0" r="0" b="0"/>
                <wp:wrapNone/>
                <wp:docPr id="1592260426" name="Picture 1" descr="Austrade cres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260426" name="Picture 1" descr="Austrade crest &#10;"/>
                        <pic:cNvPicPr/>
                      </pic:nvPicPr>
                      <pic:blipFill>
                        <a:blip r:embed="rId11"/>
                        <a:stretch>
                          <a:fillRect/>
                        </a:stretch>
                      </pic:blipFill>
                      <pic:spPr>
                        <a:xfrm>
                          <a:off x="0" y="0"/>
                          <a:ext cx="3340800" cy="1105200"/>
                        </a:xfrm>
                        <a:prstGeom prst="rect">
                          <a:avLst/>
                        </a:prstGeom>
                      </pic:spPr>
                    </pic:pic>
                  </a:graphicData>
                </a:graphic>
                <wp14:sizeRelH relativeFrom="margin">
                  <wp14:pctWidth>0</wp14:pctWidth>
                </wp14:sizeRelH>
                <wp14:sizeRelV relativeFrom="margin">
                  <wp14:pctHeight>0</wp14:pctHeight>
                </wp14:sizeRelV>
              </wp:anchor>
            </w:drawing>
          </w:r>
          <w:r w:rsidR="00DC23E6">
            <w:rPr>
              <w:noProof/>
            </w:rPr>
            <w:drawing>
              <wp:anchor distT="0" distB="0" distL="114300" distR="114300" simplePos="0" relativeHeight="251658240" behindDoc="0" locked="0" layoutInCell="1" allowOverlap="1" wp14:anchorId="64B6A539" wp14:editId="4DED6D13">
                <wp:simplePos x="0" y="0"/>
                <wp:positionH relativeFrom="column">
                  <wp:posOffset>-521373</wp:posOffset>
                </wp:positionH>
                <wp:positionV relativeFrom="paragraph">
                  <wp:posOffset>-1088750</wp:posOffset>
                </wp:positionV>
                <wp:extent cx="7110095" cy="1569492"/>
                <wp:effectExtent l="0" t="0" r="0" b="0"/>
                <wp:wrapNone/>
                <wp:docPr id="6339414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941493" name="Picture 1">
                          <a:extLst>
                            <a:ext uri="{C183D7F6-B498-43B3-948B-1728B52AA6E4}">
                              <adec:decorative xmlns:adec="http://schemas.microsoft.com/office/drawing/2017/decorative" val="1"/>
                            </a:ext>
                          </a:extLst>
                        </pic:cNvPr>
                        <pic:cNvPicPr>
                          <a:picLocks noChangeAspect="1"/>
                        </pic:cNvPicPr>
                      </pic:nvPicPr>
                      <pic:blipFill rotWithShape="1">
                        <a:blip r:embed="rId12"/>
                        <a:srcRect r="5264"/>
                        <a:stretch/>
                      </pic:blipFill>
                      <pic:spPr bwMode="auto">
                        <a:xfrm>
                          <a:off x="0" y="0"/>
                          <a:ext cx="7110095" cy="15694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BF3">
            <w:rPr>
              <w:b/>
              <w:bCs/>
            </w:rPr>
            <w:t>]</w:t>
          </w:r>
        </w:p>
        <w:p w14:paraId="63C5D7DB" w14:textId="77777777" w:rsidR="00175BF3" w:rsidRDefault="00175BF3">
          <w:pPr>
            <w:rPr>
              <w:b/>
              <w:bCs/>
            </w:rPr>
          </w:pPr>
        </w:p>
        <w:p w14:paraId="13C3CA99" w14:textId="77777777" w:rsidR="00175BF3" w:rsidRDefault="00175BF3">
          <w:pPr>
            <w:rPr>
              <w:b/>
              <w:bCs/>
            </w:rPr>
          </w:pPr>
        </w:p>
        <w:p w14:paraId="25700CF1" w14:textId="3750A191" w:rsidR="003E38E3" w:rsidRPr="00C279D9" w:rsidRDefault="009523D2" w:rsidP="00C27BF9">
          <w:pPr>
            <w:pStyle w:val="Heading1"/>
            <w:rPr>
              <w:rStyle w:val="Heading1Char"/>
              <w:bCs/>
            </w:rPr>
          </w:pPr>
          <w:bookmarkStart w:id="0" w:name="_Toc202253180"/>
          <w:bookmarkStart w:id="1" w:name="_Toc202255467"/>
          <w:bookmarkStart w:id="2" w:name="_Toc204158228"/>
          <w:bookmarkStart w:id="3" w:name="_Toc204158454"/>
          <w:bookmarkStart w:id="4" w:name="_Toc204158623"/>
          <w:r>
            <w:t xml:space="preserve">Accessible Tourism </w:t>
          </w:r>
          <w:r w:rsidR="00621EBC">
            <w:t>2024</w:t>
          </w:r>
          <w:bookmarkEnd w:id="0"/>
          <w:bookmarkEnd w:id="1"/>
          <w:bookmarkEnd w:id="2"/>
          <w:bookmarkEnd w:id="3"/>
          <w:bookmarkEnd w:id="4"/>
        </w:p>
        <w:p w14:paraId="5BDA1787" w14:textId="7338548C" w:rsidR="00621EBC" w:rsidRPr="003C403A" w:rsidRDefault="003C403A" w:rsidP="003C403A">
          <w:pPr>
            <w:rPr>
              <w:rFonts w:eastAsia="SimSun" w:cs="Times New Roman"/>
              <w:bCs/>
              <w:color w:val="441D4A" w:themeColor="accent1" w:themeShade="80"/>
              <w:sz w:val="32"/>
              <w:szCs w:val="26"/>
              <w:lang w:eastAsia="zh-CN"/>
            </w:rPr>
          </w:pPr>
          <w:r w:rsidRPr="003C403A">
            <w:rPr>
              <w:rFonts w:eastAsia="SimSun" w:cs="Times New Roman"/>
              <w:bCs/>
              <w:color w:val="441D4A" w:themeColor="accent1" w:themeShade="80"/>
              <w:sz w:val="32"/>
              <w:szCs w:val="26"/>
              <w:lang w:eastAsia="zh-CN"/>
            </w:rPr>
            <w:t>A deep dive into accessible tourism in Australia</w:t>
          </w:r>
        </w:p>
        <w:p w14:paraId="2B562C46" w14:textId="77777777" w:rsidR="00621EBC" w:rsidRDefault="00621EBC" w:rsidP="00746262"/>
        <w:p w14:paraId="5E957E4B" w14:textId="77777777" w:rsidR="00621EBC" w:rsidRDefault="00621EBC" w:rsidP="00746262"/>
        <w:p w14:paraId="1D9AABD5" w14:textId="23ED384C" w:rsidR="00746262" w:rsidRDefault="00746262" w:rsidP="00746262">
          <w:r>
            <w:t xml:space="preserve">Tourism Research Australia </w:t>
          </w:r>
        </w:p>
        <w:p w14:paraId="51BECB31" w14:textId="77777777" w:rsidR="00746262" w:rsidRDefault="00746262" w:rsidP="00746262">
          <w:r>
            <w:t xml:space="preserve">Australian Trade and Investment Commission (Austrade) </w:t>
          </w:r>
        </w:p>
        <w:p w14:paraId="1F85F536" w14:textId="77777777" w:rsidR="00746262" w:rsidRDefault="00746262" w:rsidP="00746262">
          <w:r>
            <w:t xml:space="preserve">Email: </w:t>
          </w:r>
          <w:hyperlink r:id="rId13" w:history="1">
            <w:r>
              <w:rPr>
                <w:rStyle w:val="Hyperlink"/>
              </w:rPr>
              <w:t>tourism.research@tra.gov.au</w:t>
            </w:r>
          </w:hyperlink>
          <w:r>
            <w:t xml:space="preserve"> </w:t>
          </w:r>
        </w:p>
        <w:p w14:paraId="711CED5C" w14:textId="77777777" w:rsidR="00746262" w:rsidRDefault="00746262" w:rsidP="00746262">
          <w:r>
            <w:t xml:space="preserve">Web: </w:t>
          </w:r>
          <w:hyperlink r:id="rId14" w:history="1">
            <w:r>
              <w:rPr>
                <w:rStyle w:val="Hyperlink"/>
              </w:rPr>
              <w:t>www.tra.gov.au</w:t>
            </w:r>
          </w:hyperlink>
          <w:r>
            <w:t xml:space="preserve"> </w:t>
          </w:r>
        </w:p>
        <w:p w14:paraId="7DCACCF7" w14:textId="2D978112" w:rsidR="00746262" w:rsidRDefault="00746262" w:rsidP="00746262">
          <w:r>
            <w:t xml:space="preserve">Publication date: </w:t>
          </w:r>
          <w:r w:rsidR="003C403A">
            <w:t>24</w:t>
          </w:r>
          <w:r>
            <w:t xml:space="preserve"> June 2025</w:t>
          </w:r>
        </w:p>
        <w:p w14:paraId="68262B52" w14:textId="77777777" w:rsidR="00746262" w:rsidRDefault="00746262" w:rsidP="00746262"/>
        <w:p w14:paraId="1B58D1EB" w14:textId="77777777" w:rsidR="00746262" w:rsidRDefault="00746262" w:rsidP="00746262">
          <w:pPr>
            <w:spacing w:line="240" w:lineRule="auto"/>
            <w:rPr>
              <w:sz w:val="16"/>
              <w:szCs w:val="16"/>
            </w:rPr>
          </w:pPr>
        </w:p>
        <w:p w14:paraId="3979D1C7" w14:textId="77777777" w:rsidR="00746262" w:rsidRDefault="00746262" w:rsidP="00746262">
          <w:pPr>
            <w:spacing w:line="240" w:lineRule="auto"/>
            <w:rPr>
              <w:sz w:val="16"/>
              <w:szCs w:val="16"/>
            </w:rPr>
          </w:pPr>
        </w:p>
        <w:p w14:paraId="11719BFC" w14:textId="77777777" w:rsidR="00746262" w:rsidRDefault="00746262" w:rsidP="00746262">
          <w:pPr>
            <w:spacing w:line="240" w:lineRule="auto"/>
            <w:rPr>
              <w:sz w:val="16"/>
              <w:szCs w:val="16"/>
            </w:rPr>
          </w:pPr>
        </w:p>
        <w:p w14:paraId="3BA1F40A" w14:textId="77777777" w:rsidR="00501469" w:rsidRDefault="00501469">
          <w:pPr>
            <w:spacing w:before="0" w:after="160" w:line="259" w:lineRule="auto"/>
          </w:pPr>
          <w:r>
            <w:rPr>
              <w:b/>
              <w:bCs/>
            </w:rPr>
            <w:br w:type="page"/>
          </w:r>
        </w:p>
      </w:sdtContent>
    </w:sdt>
    <w:p w14:paraId="24324F96" w14:textId="77777777" w:rsidR="00FA4A88" w:rsidRDefault="00FA4A88" w:rsidP="001A4705">
      <w:pPr>
        <w:pStyle w:val="Heading3"/>
      </w:pPr>
      <w:bookmarkStart w:id="5" w:name="_Toc202253182"/>
      <w:bookmarkStart w:id="6" w:name="_Toc202255469"/>
      <w:bookmarkStart w:id="7" w:name="_Toc204158229"/>
      <w:bookmarkStart w:id="8" w:name="_Toc204158455"/>
      <w:bookmarkStart w:id="9" w:name="_Toc204158624"/>
      <w:r>
        <w:lastRenderedPageBreak/>
        <w:t>Acknowledgement of Country</w:t>
      </w:r>
      <w:bookmarkEnd w:id="5"/>
      <w:bookmarkEnd w:id="6"/>
      <w:bookmarkEnd w:id="7"/>
      <w:bookmarkEnd w:id="8"/>
      <w:bookmarkEnd w:id="9"/>
    </w:p>
    <w:p w14:paraId="5C1E1CBF" w14:textId="2DFA3EEB" w:rsidR="007A2B8F" w:rsidRDefault="00FA4A88" w:rsidP="00820C77">
      <w:r w:rsidRPr="00722D65">
        <w:t>We acknowledge the Traditional Custodians of lands throughout Australia and pay our respects to their Elders past and present. We recognise the enduring connection of First Nations people to land, sea and waters, and their deep care for Country over 65,000 years. We honour the enormous contribution First Nations cultures and traditions make to the visitor experience in Australia and commit to protecting and nurturing these cultures in partnership with First Nations communities.</w:t>
      </w:r>
    </w:p>
    <w:p w14:paraId="15CDD854" w14:textId="77777777" w:rsidR="007A2B8F" w:rsidRDefault="007A2B8F">
      <w:pPr>
        <w:spacing w:before="0" w:after="160" w:line="259" w:lineRule="auto"/>
      </w:pPr>
    </w:p>
    <w:p w14:paraId="748B30B7" w14:textId="77777777" w:rsidR="007A2B8F" w:rsidRDefault="007A2B8F">
      <w:pPr>
        <w:spacing w:before="0" w:after="160" w:line="259" w:lineRule="auto"/>
      </w:pPr>
    </w:p>
    <w:p w14:paraId="0D93EBF2" w14:textId="77777777" w:rsidR="007A2B8F" w:rsidRDefault="007A2B8F">
      <w:pPr>
        <w:spacing w:before="0" w:after="160" w:line="259" w:lineRule="auto"/>
      </w:pPr>
    </w:p>
    <w:p w14:paraId="71913EC0" w14:textId="77777777" w:rsidR="007A2B8F" w:rsidRDefault="007A2B8F">
      <w:pPr>
        <w:spacing w:before="0" w:after="160" w:line="259" w:lineRule="auto"/>
      </w:pPr>
    </w:p>
    <w:p w14:paraId="51ED7E19" w14:textId="77777777" w:rsidR="007A2B8F" w:rsidRDefault="007A2B8F">
      <w:pPr>
        <w:spacing w:before="0" w:after="160" w:line="259" w:lineRule="auto"/>
      </w:pPr>
    </w:p>
    <w:p w14:paraId="1262141E" w14:textId="77777777" w:rsidR="007A2B8F" w:rsidRDefault="007A2B8F">
      <w:pPr>
        <w:spacing w:before="0" w:after="160" w:line="259" w:lineRule="auto"/>
      </w:pPr>
    </w:p>
    <w:p w14:paraId="410D983D" w14:textId="77777777" w:rsidR="007A2B8F" w:rsidRDefault="007A2B8F">
      <w:pPr>
        <w:spacing w:before="0" w:after="160" w:line="259" w:lineRule="auto"/>
      </w:pPr>
    </w:p>
    <w:p w14:paraId="38FEC28E" w14:textId="77777777" w:rsidR="007A2B8F" w:rsidRDefault="007A2B8F">
      <w:pPr>
        <w:spacing w:before="0" w:after="160" w:line="259" w:lineRule="auto"/>
      </w:pPr>
    </w:p>
    <w:p w14:paraId="18C68C00" w14:textId="77777777" w:rsidR="007A2B8F" w:rsidRDefault="007A2B8F">
      <w:pPr>
        <w:spacing w:before="0" w:after="160" w:line="259" w:lineRule="auto"/>
      </w:pPr>
    </w:p>
    <w:p w14:paraId="4EC1CAAA" w14:textId="77777777" w:rsidR="007A2B8F" w:rsidRDefault="007A2B8F">
      <w:pPr>
        <w:spacing w:before="0" w:after="160" w:line="259" w:lineRule="auto"/>
      </w:pPr>
    </w:p>
    <w:p w14:paraId="46FBFCA2" w14:textId="77777777" w:rsidR="007A2B8F" w:rsidRDefault="007A2B8F">
      <w:pPr>
        <w:spacing w:before="0" w:after="160" w:line="259" w:lineRule="auto"/>
      </w:pPr>
    </w:p>
    <w:p w14:paraId="4331D502" w14:textId="77777777" w:rsidR="007A2B8F" w:rsidRDefault="007A2B8F">
      <w:pPr>
        <w:spacing w:before="0" w:after="160" w:line="259" w:lineRule="auto"/>
      </w:pPr>
    </w:p>
    <w:p w14:paraId="7ADB9E59" w14:textId="77777777" w:rsidR="00820E02" w:rsidRDefault="00820E02">
      <w:pPr>
        <w:spacing w:before="0" w:after="160" w:line="259" w:lineRule="auto"/>
      </w:pPr>
    </w:p>
    <w:p w14:paraId="5607C27C" w14:textId="77777777" w:rsidR="00820E02" w:rsidRDefault="00820E02">
      <w:pPr>
        <w:spacing w:before="0" w:after="160" w:line="259" w:lineRule="auto"/>
      </w:pPr>
    </w:p>
    <w:p w14:paraId="25952EC0" w14:textId="77777777" w:rsidR="00820E02" w:rsidRDefault="00820E02">
      <w:pPr>
        <w:spacing w:before="0" w:after="160" w:line="259" w:lineRule="auto"/>
      </w:pPr>
    </w:p>
    <w:p w14:paraId="590E616F" w14:textId="77777777" w:rsidR="007A2B8F" w:rsidRDefault="007A2B8F">
      <w:pPr>
        <w:spacing w:before="0" w:after="160" w:line="259" w:lineRule="auto"/>
      </w:pPr>
    </w:p>
    <w:p w14:paraId="07B288FA" w14:textId="77777777" w:rsidR="00010F6B" w:rsidRDefault="00010F6B" w:rsidP="007A2B8F">
      <w:pPr>
        <w:spacing w:line="240" w:lineRule="auto"/>
      </w:pPr>
    </w:p>
    <w:p w14:paraId="3ED7AE27" w14:textId="77777777" w:rsidR="00010F6B" w:rsidRDefault="00010F6B" w:rsidP="007A2B8F">
      <w:pPr>
        <w:spacing w:line="240" w:lineRule="auto"/>
      </w:pPr>
    </w:p>
    <w:p w14:paraId="1E086FC5" w14:textId="77777777" w:rsidR="00010F6B" w:rsidRDefault="00010F6B" w:rsidP="007A2B8F">
      <w:pPr>
        <w:spacing w:line="240" w:lineRule="auto"/>
      </w:pPr>
    </w:p>
    <w:p w14:paraId="5E8706FE" w14:textId="77777777" w:rsidR="00010F6B" w:rsidRDefault="00010F6B" w:rsidP="007A2B8F">
      <w:pPr>
        <w:spacing w:line="240" w:lineRule="auto"/>
      </w:pPr>
    </w:p>
    <w:p w14:paraId="20C2F9CF" w14:textId="77777777" w:rsidR="00CF79F9" w:rsidRDefault="00CF79F9" w:rsidP="007A2B8F">
      <w:pPr>
        <w:spacing w:line="240" w:lineRule="auto"/>
      </w:pPr>
    </w:p>
    <w:p w14:paraId="6AA1C7BD" w14:textId="77777777" w:rsidR="00CF79F9" w:rsidRDefault="00CF79F9" w:rsidP="007A2B8F">
      <w:pPr>
        <w:spacing w:line="240" w:lineRule="auto"/>
      </w:pPr>
    </w:p>
    <w:p w14:paraId="3CA080B8" w14:textId="77777777" w:rsidR="00CF79F9" w:rsidRDefault="00CF79F9" w:rsidP="007A2B8F">
      <w:pPr>
        <w:spacing w:line="240" w:lineRule="auto"/>
      </w:pPr>
    </w:p>
    <w:p w14:paraId="0E212CC1" w14:textId="77777777" w:rsidR="00CF79F9" w:rsidRDefault="00CF79F9" w:rsidP="007A2B8F">
      <w:pPr>
        <w:spacing w:line="240" w:lineRule="auto"/>
      </w:pPr>
    </w:p>
    <w:p w14:paraId="17BCC741" w14:textId="7476D6F3" w:rsidR="007A2B8F" w:rsidRPr="00CF79F9" w:rsidRDefault="007A2B8F" w:rsidP="007A2B8F">
      <w:pPr>
        <w:spacing w:line="240" w:lineRule="auto"/>
      </w:pPr>
      <w:r w:rsidRPr="00CF79F9">
        <w:t xml:space="preserve">This work should be attributed as </w:t>
      </w:r>
      <w:r w:rsidRPr="00CF79F9">
        <w:rPr>
          <w:i/>
          <w:iCs/>
        </w:rPr>
        <w:t xml:space="preserve">Accessible Tourism </w:t>
      </w:r>
      <w:r w:rsidR="00315AA0" w:rsidRPr="00CF79F9">
        <w:rPr>
          <w:i/>
          <w:iCs/>
        </w:rPr>
        <w:t>in 2024</w:t>
      </w:r>
      <w:r w:rsidRPr="00CF79F9">
        <w:t xml:space="preserve">, Tourism Research Australia, Austrade, Canberra. </w:t>
      </w:r>
    </w:p>
    <w:p w14:paraId="1375E830" w14:textId="77777777" w:rsidR="00010F6B" w:rsidRPr="00CF79F9" w:rsidRDefault="007A2B8F" w:rsidP="00010F6B">
      <w:pPr>
        <w:pStyle w:val="Default"/>
        <w:rPr>
          <w:sz w:val="20"/>
          <w:szCs w:val="20"/>
        </w:rPr>
      </w:pPr>
      <w:r w:rsidRPr="00CF79F9">
        <w:rPr>
          <w:sz w:val="20"/>
          <w:szCs w:val="20"/>
        </w:rPr>
        <w:t xml:space="preserve">This report is available at </w:t>
      </w:r>
      <w:hyperlink r:id="rId15" w:history="1">
        <w:r w:rsidRPr="00CF79F9">
          <w:rPr>
            <w:rStyle w:val="Hyperlink"/>
            <w:sz w:val="20"/>
            <w:szCs w:val="20"/>
          </w:rPr>
          <w:t>https://www.tra.gov.au/en/economic-analysis/annual-benchmark-report</w:t>
        </w:r>
      </w:hyperlink>
    </w:p>
    <w:p w14:paraId="50F7805C" w14:textId="77777777" w:rsidR="00010F6B" w:rsidRPr="00CF79F9" w:rsidRDefault="00010F6B" w:rsidP="00010F6B">
      <w:pPr>
        <w:pStyle w:val="Default"/>
        <w:rPr>
          <w:sz w:val="20"/>
          <w:szCs w:val="20"/>
        </w:rPr>
      </w:pPr>
    </w:p>
    <w:p w14:paraId="63B23D3B" w14:textId="61D1F98F" w:rsidR="00CF79F9" w:rsidRDefault="007A2B8F" w:rsidP="00CF79F9">
      <w:pPr>
        <w:pStyle w:val="Default"/>
      </w:pPr>
      <w:r w:rsidRPr="00CF79F9">
        <w:rPr>
          <w:sz w:val="20"/>
          <w:szCs w:val="20"/>
        </w:rPr>
        <w:t xml:space="preserve">Further enquiries are welcome at </w:t>
      </w:r>
      <w:hyperlink r:id="rId16" w:history="1">
        <w:r w:rsidRPr="00CF79F9">
          <w:rPr>
            <w:rStyle w:val="Hyperlink"/>
            <w:sz w:val="20"/>
            <w:szCs w:val="20"/>
          </w:rPr>
          <w:t>tourism.research@tra.gov.au</w:t>
        </w:r>
      </w:hyperlink>
      <w:r w:rsidR="00CF79F9">
        <w:br w:type="page"/>
      </w:r>
    </w:p>
    <w:p w14:paraId="6FBC94E8" w14:textId="77777777" w:rsidR="00FA4A88" w:rsidRPr="004F697D" w:rsidRDefault="00FA4A88" w:rsidP="00992BC2">
      <w:pPr>
        <w:rPr>
          <w:sz w:val="18"/>
          <w:szCs w:val="18"/>
        </w:rPr>
      </w:pPr>
      <w:r w:rsidRPr="004F697D">
        <w:rPr>
          <w:b/>
          <w:bCs/>
          <w:sz w:val="18"/>
          <w:szCs w:val="18"/>
        </w:rPr>
        <w:lastRenderedPageBreak/>
        <w:t xml:space="preserve">Copyright © </w:t>
      </w:r>
      <w:r w:rsidRPr="004F697D">
        <w:rPr>
          <w:sz w:val="18"/>
          <w:szCs w:val="18"/>
        </w:rPr>
        <w:t>Commonwealth of Australia 2025</w:t>
      </w:r>
    </w:p>
    <w:p w14:paraId="30A98D81" w14:textId="231FD30C" w:rsidR="00FA4A88" w:rsidRPr="004F697D" w:rsidRDefault="00FA4A88" w:rsidP="00992BC2">
      <w:pPr>
        <w:rPr>
          <w:sz w:val="18"/>
          <w:szCs w:val="18"/>
        </w:rPr>
      </w:pPr>
      <w:r w:rsidRPr="004F697D">
        <w:rPr>
          <w:sz w:val="18"/>
          <w:szCs w:val="18"/>
        </w:rPr>
        <w:t xml:space="preserve">The material in this document is licensed under a Creative Commons Attribution – 4.0 International licence, </w:t>
      </w:r>
      <w:r w:rsidR="000536F6" w:rsidRPr="004F697D">
        <w:rPr>
          <w:sz w:val="18"/>
          <w:szCs w:val="18"/>
        </w:rPr>
        <w:t>except for</w:t>
      </w:r>
      <w:r w:rsidRPr="004F697D">
        <w:rPr>
          <w:sz w:val="18"/>
          <w:szCs w:val="18"/>
        </w:rPr>
        <w:t xml:space="preserve">: </w:t>
      </w:r>
    </w:p>
    <w:p w14:paraId="73A66633" w14:textId="77777777" w:rsidR="00FA4A88" w:rsidRPr="00FD44B1" w:rsidRDefault="00FA4A88" w:rsidP="00FD44B1">
      <w:pPr>
        <w:pStyle w:val="BulletList"/>
        <w:rPr>
          <w:sz w:val="18"/>
          <w:szCs w:val="18"/>
        </w:rPr>
      </w:pPr>
      <w:r w:rsidRPr="00FD44B1">
        <w:rPr>
          <w:sz w:val="18"/>
          <w:szCs w:val="18"/>
        </w:rPr>
        <w:t xml:space="preserve">the Commonwealth Coat of Arms </w:t>
      </w:r>
    </w:p>
    <w:p w14:paraId="51ABB8A6" w14:textId="77777777" w:rsidR="00FA4A88" w:rsidRPr="00FD44B1" w:rsidRDefault="00FA4A88" w:rsidP="00FD44B1">
      <w:pPr>
        <w:pStyle w:val="BulletList"/>
        <w:rPr>
          <w:sz w:val="18"/>
          <w:szCs w:val="18"/>
        </w:rPr>
      </w:pPr>
      <w:r w:rsidRPr="00FD44B1">
        <w:rPr>
          <w:sz w:val="18"/>
          <w:szCs w:val="18"/>
        </w:rPr>
        <w:t xml:space="preserve">the Australian Trade and Investment Commission’s logo </w:t>
      </w:r>
    </w:p>
    <w:p w14:paraId="43D7978A" w14:textId="77777777" w:rsidR="00FA4A88" w:rsidRPr="00FD44B1" w:rsidRDefault="00FA4A88" w:rsidP="00FD44B1">
      <w:pPr>
        <w:pStyle w:val="BulletList"/>
        <w:rPr>
          <w:sz w:val="18"/>
          <w:szCs w:val="18"/>
        </w:rPr>
      </w:pPr>
      <w:r w:rsidRPr="00FD44B1">
        <w:rPr>
          <w:sz w:val="18"/>
          <w:szCs w:val="18"/>
        </w:rPr>
        <w:t xml:space="preserve">any third-party material </w:t>
      </w:r>
    </w:p>
    <w:p w14:paraId="40DD5DCD" w14:textId="77777777" w:rsidR="00FA4A88" w:rsidRPr="00FD44B1" w:rsidRDefault="00FA4A88" w:rsidP="00FD44B1">
      <w:pPr>
        <w:pStyle w:val="BulletList"/>
        <w:rPr>
          <w:sz w:val="18"/>
          <w:szCs w:val="18"/>
        </w:rPr>
      </w:pPr>
      <w:r w:rsidRPr="00FD44B1">
        <w:rPr>
          <w:sz w:val="18"/>
          <w:szCs w:val="18"/>
        </w:rPr>
        <w:t xml:space="preserve">any material protected by a trademark </w:t>
      </w:r>
    </w:p>
    <w:p w14:paraId="0764650E" w14:textId="77777777" w:rsidR="00FA4A88" w:rsidRPr="00FD44B1" w:rsidRDefault="00FA4A88" w:rsidP="00FD44B1">
      <w:pPr>
        <w:pStyle w:val="BulletList"/>
        <w:rPr>
          <w:sz w:val="18"/>
          <w:szCs w:val="18"/>
        </w:rPr>
      </w:pPr>
      <w:r w:rsidRPr="00FD44B1">
        <w:rPr>
          <w:sz w:val="18"/>
          <w:szCs w:val="18"/>
        </w:rPr>
        <w:t>any images and photographs.</w:t>
      </w:r>
    </w:p>
    <w:p w14:paraId="31858CEC" w14:textId="77777777" w:rsidR="00FA4A88" w:rsidRPr="004F697D" w:rsidRDefault="00FA4A88" w:rsidP="00992BC2">
      <w:pPr>
        <w:rPr>
          <w:sz w:val="18"/>
          <w:szCs w:val="18"/>
        </w:rPr>
      </w:pPr>
      <w:bookmarkStart w:id="10" w:name="_Toc89671613"/>
      <w:bookmarkStart w:id="11" w:name="_Toc95830543"/>
      <w:r w:rsidRPr="004F697D">
        <w:rPr>
          <w:sz w:val="18"/>
          <w:szCs w:val="18"/>
        </w:rPr>
        <w:t>More information on this CC BY licence is set out at the creative common’s website: https://creativecommons.org/licenses/by/4.0/legalcode.</w:t>
      </w:r>
      <w:bookmarkEnd w:id="10"/>
      <w:bookmarkEnd w:id="11"/>
    </w:p>
    <w:p w14:paraId="6B7C1478" w14:textId="77777777" w:rsidR="00FA4A88" w:rsidRPr="004F697D" w:rsidRDefault="00FA4A88" w:rsidP="00992BC2">
      <w:pPr>
        <w:rPr>
          <w:b/>
          <w:bCs/>
          <w:sz w:val="18"/>
          <w:szCs w:val="18"/>
        </w:rPr>
      </w:pPr>
      <w:r w:rsidRPr="004F697D">
        <w:rPr>
          <w:b/>
          <w:bCs/>
          <w:sz w:val="18"/>
          <w:szCs w:val="18"/>
        </w:rPr>
        <w:t>Attribution</w:t>
      </w:r>
    </w:p>
    <w:p w14:paraId="79AD6920" w14:textId="1BB596A9" w:rsidR="00FA4A88" w:rsidRPr="004F697D" w:rsidRDefault="00FA4A88" w:rsidP="00992BC2">
      <w:pPr>
        <w:rPr>
          <w:rFonts w:asciiTheme="minorHAnsi" w:hAnsiTheme="minorHAnsi" w:cs="AU Sans BETA Text Light"/>
          <w:sz w:val="18"/>
          <w:szCs w:val="18"/>
        </w:rPr>
      </w:pPr>
      <w:r w:rsidRPr="004F697D">
        <w:rPr>
          <w:sz w:val="18"/>
          <w:szCs w:val="18"/>
        </w:rPr>
        <w:t>Before reusing any part of this document, including reproduction, public display, public performance, distribution, dissemination, communication, or importation, you must comply with the Attribution requirements under the CC BY licence. Enquiries about this licence and any use of this document can be sent to</w:t>
      </w:r>
      <w:r w:rsidRPr="004F697D">
        <w:rPr>
          <w:rFonts w:asciiTheme="minorHAnsi" w:hAnsiTheme="minorHAnsi"/>
          <w:sz w:val="18"/>
          <w:szCs w:val="18"/>
        </w:rPr>
        <w:t>:</w:t>
      </w:r>
      <w:r w:rsidRPr="004F697D">
        <w:rPr>
          <w:rFonts w:asciiTheme="minorHAnsi" w:hAnsiTheme="minorHAnsi" w:cs="AU Sans BETA Text Light"/>
          <w:sz w:val="18"/>
          <w:szCs w:val="18"/>
        </w:rPr>
        <w:t xml:space="preserve"> </w:t>
      </w:r>
      <w:hyperlink r:id="rId17" w:history="1">
        <w:r w:rsidRPr="004F697D">
          <w:rPr>
            <w:rStyle w:val="Hyperlink"/>
            <w:rFonts w:asciiTheme="minorHAnsi" w:hAnsiTheme="minorHAnsi" w:cs="AU Sans BETA Text Light"/>
            <w:sz w:val="18"/>
            <w:szCs w:val="18"/>
          </w:rPr>
          <w:t>advisory@austrade.gov.au</w:t>
        </w:r>
      </w:hyperlink>
      <w:r w:rsidRPr="004F697D">
        <w:rPr>
          <w:rFonts w:asciiTheme="minorHAnsi" w:hAnsiTheme="minorHAnsi" w:cs="AU Sans BETA Text Light"/>
          <w:sz w:val="18"/>
          <w:szCs w:val="18"/>
        </w:rPr>
        <w:t>.</w:t>
      </w:r>
    </w:p>
    <w:p w14:paraId="7C775B11" w14:textId="713A2C71" w:rsidR="00FA4A88" w:rsidRPr="004F697D" w:rsidRDefault="00FA4A88" w:rsidP="00992BC2">
      <w:pPr>
        <w:rPr>
          <w:sz w:val="18"/>
          <w:szCs w:val="18"/>
        </w:rPr>
      </w:pPr>
      <w:r w:rsidRPr="004F697D">
        <w:rPr>
          <w:b/>
          <w:bCs/>
          <w:sz w:val="18"/>
          <w:szCs w:val="18"/>
        </w:rPr>
        <w:t xml:space="preserve">Using the Coat of Arms </w:t>
      </w:r>
      <w:r w:rsidRPr="004F697D">
        <w:rPr>
          <w:sz w:val="18"/>
          <w:szCs w:val="18"/>
        </w:rPr>
        <w:t xml:space="preserve">The terms of use for the Coat of Arms are available on the </w:t>
      </w:r>
      <w:hyperlink r:id="rId18" w:history="1">
        <w:r w:rsidRPr="004F697D">
          <w:rPr>
            <w:rStyle w:val="Hyperlink"/>
            <w:sz w:val="18"/>
            <w:szCs w:val="18"/>
          </w:rPr>
          <w:t>Department of the Prime Minister and Cabinet</w:t>
        </w:r>
      </w:hyperlink>
      <w:r w:rsidRPr="004F697D">
        <w:rPr>
          <w:sz w:val="18"/>
          <w:szCs w:val="18"/>
        </w:rPr>
        <w:t xml:space="preserve"> website. </w:t>
      </w:r>
    </w:p>
    <w:p w14:paraId="09ED8B1F" w14:textId="77777777" w:rsidR="00FA4A88" w:rsidRPr="004F697D" w:rsidRDefault="00FA4A88" w:rsidP="00992BC2">
      <w:pPr>
        <w:rPr>
          <w:b/>
          <w:bCs/>
          <w:sz w:val="18"/>
          <w:szCs w:val="18"/>
        </w:rPr>
      </w:pPr>
      <w:r w:rsidRPr="004F697D">
        <w:rPr>
          <w:b/>
          <w:bCs/>
          <w:sz w:val="18"/>
          <w:szCs w:val="18"/>
        </w:rPr>
        <w:t>Disclaimer</w:t>
      </w:r>
    </w:p>
    <w:p w14:paraId="78FEE61F" w14:textId="77777777" w:rsidR="00FA4A88" w:rsidRPr="004F697D" w:rsidRDefault="00FA4A88" w:rsidP="00992BC2">
      <w:pPr>
        <w:rPr>
          <w:sz w:val="18"/>
          <w:szCs w:val="18"/>
        </w:rPr>
      </w:pPr>
      <w:r w:rsidRPr="004F697D">
        <w:rPr>
          <w:sz w:val="18"/>
          <w:szCs w:val="18"/>
        </w:rPr>
        <w:t>This report has been prepared by the Commonwealth of Australia represented by the Australian Trade and Investment Commission (Austrade). The report is a general overview and is not intended to provide exhaustive coverage of the topic. The information is made available on the understanding that the Commonwealth of Australia is not providing professional advice.</w:t>
      </w:r>
    </w:p>
    <w:p w14:paraId="65CF2680" w14:textId="77777777" w:rsidR="00FA4A88" w:rsidRPr="004F697D" w:rsidRDefault="00FA4A88" w:rsidP="00992BC2">
      <w:pPr>
        <w:rPr>
          <w:sz w:val="18"/>
          <w:szCs w:val="18"/>
        </w:rPr>
      </w:pPr>
      <w:r w:rsidRPr="004F697D">
        <w:rPr>
          <w:sz w:val="18"/>
          <w:szCs w:val="18"/>
        </w:rPr>
        <w:t>While care has been taken to ensure the information in this report is accurate, the Commonwealth does not accept any liability for any loss arising from reliance on the information, or from any error or omission, in the report.</w:t>
      </w:r>
    </w:p>
    <w:p w14:paraId="5704E46D" w14:textId="77777777" w:rsidR="00FA4A88" w:rsidRPr="004F697D" w:rsidRDefault="00FA4A88" w:rsidP="00992BC2">
      <w:pPr>
        <w:rPr>
          <w:bCs/>
          <w:sz w:val="18"/>
          <w:szCs w:val="18"/>
        </w:rPr>
      </w:pPr>
      <w:r w:rsidRPr="004F697D">
        <w:rPr>
          <w:bCs/>
          <w:sz w:val="18"/>
          <w:szCs w:val="18"/>
        </w:rPr>
        <w:t>Any person relying on this information does so at their own risk. The Commonwealth recommends the person exercise their own skill and care, including obtaining professional advice, in relation to their use of the information for their purposes. The Commonwealth does not endorse any company or activity referred to in the report and does not accept responsibility for any losses suffered in connection with any company or its activities.</w:t>
      </w:r>
    </w:p>
    <w:p w14:paraId="71BC00F6" w14:textId="77777777" w:rsidR="00FA4A88" w:rsidRDefault="00FA4A88" w:rsidP="00FA4A88">
      <w:r>
        <w:rPr>
          <w:bCs/>
        </w:rPr>
        <w:br w:type="page"/>
      </w:r>
    </w:p>
    <w:sdt>
      <w:sdtPr>
        <w:rPr>
          <w:rFonts w:ascii="Verdana" w:eastAsiaTheme="minorHAnsi" w:hAnsi="Verdana" w:cstheme="minorBidi"/>
          <w:color w:val="000000" w:themeColor="text1"/>
          <w:sz w:val="20"/>
          <w:szCs w:val="20"/>
          <w:lang w:val="en-AU"/>
        </w:rPr>
        <w:id w:val="1791161139"/>
        <w:docPartObj>
          <w:docPartGallery w:val="Table of Contents"/>
          <w:docPartUnique/>
        </w:docPartObj>
      </w:sdtPr>
      <w:sdtEndPr>
        <w:rPr>
          <w:b/>
          <w:bCs/>
          <w:noProof/>
        </w:rPr>
      </w:sdtEndPr>
      <w:sdtContent>
        <w:p w14:paraId="553FCEED" w14:textId="40FB60CD" w:rsidR="00574A51" w:rsidRPr="00574A51" w:rsidRDefault="00B61E88" w:rsidP="00574A51">
          <w:pPr>
            <w:pStyle w:val="TOCHeading"/>
          </w:pPr>
          <w:r>
            <w:t>Contents</w:t>
          </w:r>
          <w:r>
            <w:fldChar w:fldCharType="begin"/>
          </w:r>
          <w:r>
            <w:instrText xml:space="preserve"> TOC \o "1-3" \h \z \u </w:instrText>
          </w:r>
          <w:r>
            <w:fldChar w:fldCharType="separate"/>
          </w:r>
        </w:p>
        <w:p w14:paraId="0BF23703" w14:textId="3938926B" w:rsidR="00574A51" w:rsidRDefault="00574A51" w:rsidP="00574A51">
          <w:pPr>
            <w:pStyle w:val="TOC2"/>
            <w:tabs>
              <w:tab w:val="right" w:leader="dot" w:pos="9958"/>
            </w:tabs>
            <w:ind w:left="0"/>
            <w:rPr>
              <w:rFonts w:asciiTheme="minorHAnsi" w:eastAsiaTheme="minorEastAsia" w:hAnsiTheme="minorHAnsi"/>
              <w:noProof/>
              <w:color w:val="auto"/>
              <w:kern w:val="2"/>
              <w:sz w:val="24"/>
              <w:szCs w:val="24"/>
              <w:lang w:eastAsia="en-AU"/>
              <w14:ligatures w14:val="standardContextual"/>
            </w:rPr>
          </w:pPr>
          <w:hyperlink w:anchor="_Toc204158625" w:history="1">
            <w:r w:rsidRPr="00536B9E">
              <w:rPr>
                <w:rStyle w:val="Hyperlink"/>
                <w:noProof/>
              </w:rPr>
              <w:t>About this report: why accessible tourism matters</w:t>
            </w:r>
            <w:r>
              <w:rPr>
                <w:noProof/>
                <w:webHidden/>
              </w:rPr>
              <w:tab/>
            </w:r>
            <w:r>
              <w:rPr>
                <w:noProof/>
                <w:webHidden/>
              </w:rPr>
              <w:fldChar w:fldCharType="begin"/>
            </w:r>
            <w:r>
              <w:rPr>
                <w:noProof/>
                <w:webHidden/>
              </w:rPr>
              <w:instrText xml:space="preserve"> PAGEREF _Toc204158625 \h </w:instrText>
            </w:r>
            <w:r>
              <w:rPr>
                <w:noProof/>
                <w:webHidden/>
              </w:rPr>
            </w:r>
            <w:r>
              <w:rPr>
                <w:noProof/>
                <w:webHidden/>
              </w:rPr>
              <w:fldChar w:fldCharType="separate"/>
            </w:r>
            <w:r>
              <w:rPr>
                <w:noProof/>
                <w:webHidden/>
              </w:rPr>
              <w:t>4</w:t>
            </w:r>
            <w:r>
              <w:rPr>
                <w:noProof/>
                <w:webHidden/>
              </w:rPr>
              <w:fldChar w:fldCharType="end"/>
            </w:r>
          </w:hyperlink>
        </w:p>
        <w:p w14:paraId="66352A8E" w14:textId="598A0047" w:rsidR="00574A51" w:rsidRDefault="00574A51" w:rsidP="00574A51">
          <w:pPr>
            <w:pStyle w:val="TOC2"/>
            <w:tabs>
              <w:tab w:val="right" w:leader="dot" w:pos="9958"/>
            </w:tabs>
            <w:ind w:left="0"/>
            <w:rPr>
              <w:rFonts w:asciiTheme="minorHAnsi" w:eastAsiaTheme="minorEastAsia" w:hAnsiTheme="minorHAnsi"/>
              <w:noProof/>
              <w:color w:val="auto"/>
              <w:kern w:val="2"/>
              <w:sz w:val="24"/>
              <w:szCs w:val="24"/>
              <w:lang w:eastAsia="en-AU"/>
              <w14:ligatures w14:val="standardContextual"/>
            </w:rPr>
          </w:pPr>
          <w:hyperlink w:anchor="_Toc204158626" w:history="1">
            <w:r w:rsidRPr="00536B9E">
              <w:rPr>
                <w:rStyle w:val="Hyperlink"/>
                <w:noProof/>
              </w:rPr>
              <w:t>Size and value of</w:t>
            </w:r>
            <w:r w:rsidRPr="00536B9E">
              <w:rPr>
                <w:rStyle w:val="Hyperlink"/>
                <w:i/>
                <w:iCs/>
                <w:noProof/>
              </w:rPr>
              <w:t xml:space="preserve"> </w:t>
            </w:r>
            <w:r w:rsidRPr="00536B9E">
              <w:rPr>
                <w:rStyle w:val="Hyperlink"/>
                <w:noProof/>
              </w:rPr>
              <w:t>accessible tourism</w:t>
            </w:r>
            <w:r w:rsidRPr="00536B9E">
              <w:rPr>
                <w:rStyle w:val="Hyperlink"/>
                <w:i/>
                <w:iCs/>
                <w:noProof/>
              </w:rPr>
              <w:t xml:space="preserve"> </w:t>
            </w:r>
            <w:r w:rsidRPr="00536B9E">
              <w:rPr>
                <w:rStyle w:val="Hyperlink"/>
                <w:noProof/>
              </w:rPr>
              <w:t>in Australia</w:t>
            </w:r>
            <w:r>
              <w:rPr>
                <w:noProof/>
                <w:webHidden/>
              </w:rPr>
              <w:tab/>
            </w:r>
            <w:r>
              <w:rPr>
                <w:noProof/>
                <w:webHidden/>
              </w:rPr>
              <w:fldChar w:fldCharType="begin"/>
            </w:r>
            <w:r>
              <w:rPr>
                <w:noProof/>
                <w:webHidden/>
              </w:rPr>
              <w:instrText xml:space="preserve"> PAGEREF _Toc204158626 \h </w:instrText>
            </w:r>
            <w:r>
              <w:rPr>
                <w:noProof/>
                <w:webHidden/>
              </w:rPr>
            </w:r>
            <w:r>
              <w:rPr>
                <w:noProof/>
                <w:webHidden/>
              </w:rPr>
              <w:fldChar w:fldCharType="separate"/>
            </w:r>
            <w:r>
              <w:rPr>
                <w:noProof/>
                <w:webHidden/>
              </w:rPr>
              <w:t>6</w:t>
            </w:r>
            <w:r>
              <w:rPr>
                <w:noProof/>
                <w:webHidden/>
              </w:rPr>
              <w:fldChar w:fldCharType="end"/>
            </w:r>
          </w:hyperlink>
        </w:p>
        <w:p w14:paraId="203B015C" w14:textId="102ED669" w:rsidR="00574A51" w:rsidRDefault="00574A51" w:rsidP="00574A51">
          <w:pPr>
            <w:pStyle w:val="TOC2"/>
            <w:tabs>
              <w:tab w:val="right" w:leader="dot" w:pos="9958"/>
            </w:tabs>
            <w:ind w:left="0"/>
            <w:rPr>
              <w:rFonts w:asciiTheme="minorHAnsi" w:eastAsiaTheme="minorEastAsia" w:hAnsiTheme="minorHAnsi"/>
              <w:noProof/>
              <w:color w:val="auto"/>
              <w:kern w:val="2"/>
              <w:sz w:val="24"/>
              <w:szCs w:val="24"/>
              <w:lang w:eastAsia="en-AU"/>
              <w14:ligatures w14:val="standardContextual"/>
            </w:rPr>
          </w:pPr>
          <w:hyperlink w:anchor="_Toc204158630" w:history="1">
            <w:r w:rsidRPr="00536B9E">
              <w:rPr>
                <w:rStyle w:val="Hyperlink"/>
                <w:noProof/>
              </w:rPr>
              <w:t>Understanding the accessible traveller</w:t>
            </w:r>
            <w:r>
              <w:rPr>
                <w:noProof/>
                <w:webHidden/>
              </w:rPr>
              <w:tab/>
            </w:r>
            <w:r>
              <w:rPr>
                <w:noProof/>
                <w:webHidden/>
              </w:rPr>
              <w:fldChar w:fldCharType="begin"/>
            </w:r>
            <w:r>
              <w:rPr>
                <w:noProof/>
                <w:webHidden/>
              </w:rPr>
              <w:instrText xml:space="preserve"> PAGEREF _Toc204158630 \h </w:instrText>
            </w:r>
            <w:r>
              <w:rPr>
                <w:noProof/>
                <w:webHidden/>
              </w:rPr>
            </w:r>
            <w:r>
              <w:rPr>
                <w:noProof/>
                <w:webHidden/>
              </w:rPr>
              <w:fldChar w:fldCharType="separate"/>
            </w:r>
            <w:r>
              <w:rPr>
                <w:noProof/>
                <w:webHidden/>
              </w:rPr>
              <w:t>8</w:t>
            </w:r>
            <w:r>
              <w:rPr>
                <w:noProof/>
                <w:webHidden/>
              </w:rPr>
              <w:fldChar w:fldCharType="end"/>
            </w:r>
          </w:hyperlink>
        </w:p>
        <w:p w14:paraId="2FBBF05C" w14:textId="559B137F" w:rsidR="00574A51" w:rsidRDefault="00574A51" w:rsidP="00574A51">
          <w:pPr>
            <w:pStyle w:val="TOC2"/>
            <w:tabs>
              <w:tab w:val="right" w:leader="dot" w:pos="9958"/>
            </w:tabs>
            <w:ind w:left="0"/>
            <w:rPr>
              <w:rFonts w:asciiTheme="minorHAnsi" w:eastAsiaTheme="minorEastAsia" w:hAnsiTheme="minorHAnsi"/>
              <w:noProof/>
              <w:color w:val="auto"/>
              <w:kern w:val="2"/>
              <w:sz w:val="24"/>
              <w:szCs w:val="24"/>
              <w:lang w:eastAsia="en-AU"/>
              <w14:ligatures w14:val="standardContextual"/>
            </w:rPr>
          </w:pPr>
          <w:hyperlink w:anchor="_Toc204158634" w:history="1">
            <w:r w:rsidRPr="00536B9E">
              <w:rPr>
                <w:rStyle w:val="Hyperlink"/>
                <w:noProof/>
                <w:lang w:val="pt-PT"/>
              </w:rPr>
              <w:t>Travellers with accessible needs; how they travel (holiday, VFR and business travellers only)</w:t>
            </w:r>
            <w:r>
              <w:rPr>
                <w:noProof/>
                <w:webHidden/>
              </w:rPr>
              <w:tab/>
            </w:r>
            <w:r>
              <w:rPr>
                <w:noProof/>
                <w:webHidden/>
              </w:rPr>
              <w:fldChar w:fldCharType="begin"/>
            </w:r>
            <w:r>
              <w:rPr>
                <w:noProof/>
                <w:webHidden/>
              </w:rPr>
              <w:instrText xml:space="preserve"> PAGEREF _Toc204158634 \h </w:instrText>
            </w:r>
            <w:r>
              <w:rPr>
                <w:noProof/>
                <w:webHidden/>
              </w:rPr>
            </w:r>
            <w:r>
              <w:rPr>
                <w:noProof/>
                <w:webHidden/>
              </w:rPr>
              <w:fldChar w:fldCharType="separate"/>
            </w:r>
            <w:r>
              <w:rPr>
                <w:noProof/>
                <w:webHidden/>
              </w:rPr>
              <w:t>14</w:t>
            </w:r>
            <w:r>
              <w:rPr>
                <w:noProof/>
                <w:webHidden/>
              </w:rPr>
              <w:fldChar w:fldCharType="end"/>
            </w:r>
          </w:hyperlink>
        </w:p>
        <w:p w14:paraId="18C7216A" w14:textId="776F0421" w:rsidR="00574A51" w:rsidRDefault="00574A51" w:rsidP="00574A51">
          <w:pPr>
            <w:pStyle w:val="TOC2"/>
            <w:tabs>
              <w:tab w:val="right" w:leader="dot" w:pos="9958"/>
            </w:tabs>
            <w:ind w:left="0"/>
            <w:rPr>
              <w:rFonts w:asciiTheme="minorHAnsi" w:eastAsiaTheme="minorEastAsia" w:hAnsiTheme="minorHAnsi"/>
              <w:noProof/>
              <w:color w:val="auto"/>
              <w:kern w:val="2"/>
              <w:sz w:val="24"/>
              <w:szCs w:val="24"/>
              <w:lang w:eastAsia="en-AU"/>
              <w14:ligatures w14:val="standardContextual"/>
            </w:rPr>
          </w:pPr>
          <w:hyperlink w:anchor="_Toc204158641" w:history="1">
            <w:r w:rsidRPr="00536B9E">
              <w:rPr>
                <w:rStyle w:val="Hyperlink"/>
                <w:noProof/>
                <w:lang w:val="pt-PT"/>
              </w:rPr>
              <w:t>Accessible tourism around the world</w:t>
            </w:r>
            <w:r>
              <w:rPr>
                <w:noProof/>
                <w:webHidden/>
              </w:rPr>
              <w:tab/>
            </w:r>
            <w:r>
              <w:rPr>
                <w:noProof/>
                <w:webHidden/>
              </w:rPr>
              <w:fldChar w:fldCharType="begin"/>
            </w:r>
            <w:r>
              <w:rPr>
                <w:noProof/>
                <w:webHidden/>
              </w:rPr>
              <w:instrText xml:space="preserve"> PAGEREF _Toc204158641 \h </w:instrText>
            </w:r>
            <w:r>
              <w:rPr>
                <w:noProof/>
                <w:webHidden/>
              </w:rPr>
            </w:r>
            <w:r>
              <w:rPr>
                <w:noProof/>
                <w:webHidden/>
              </w:rPr>
              <w:fldChar w:fldCharType="separate"/>
            </w:r>
            <w:r>
              <w:rPr>
                <w:noProof/>
                <w:webHidden/>
              </w:rPr>
              <w:t>23</w:t>
            </w:r>
            <w:r>
              <w:rPr>
                <w:noProof/>
                <w:webHidden/>
              </w:rPr>
              <w:fldChar w:fldCharType="end"/>
            </w:r>
          </w:hyperlink>
        </w:p>
        <w:p w14:paraId="4BA7855A" w14:textId="73C840B2" w:rsidR="00574A51" w:rsidRDefault="00574A51" w:rsidP="00574A51">
          <w:pPr>
            <w:pStyle w:val="TOC2"/>
            <w:tabs>
              <w:tab w:val="right" w:leader="dot" w:pos="9958"/>
            </w:tabs>
            <w:ind w:left="0"/>
            <w:rPr>
              <w:rFonts w:asciiTheme="minorHAnsi" w:eastAsiaTheme="minorEastAsia" w:hAnsiTheme="minorHAnsi"/>
              <w:noProof/>
              <w:color w:val="auto"/>
              <w:kern w:val="2"/>
              <w:sz w:val="24"/>
              <w:szCs w:val="24"/>
              <w:lang w:eastAsia="en-AU"/>
              <w14:ligatures w14:val="standardContextual"/>
            </w:rPr>
          </w:pPr>
          <w:hyperlink w:anchor="_Toc204158643" w:history="1">
            <w:r w:rsidRPr="00536B9E">
              <w:rPr>
                <w:rStyle w:val="Hyperlink"/>
                <w:noProof/>
              </w:rPr>
              <w:t>Conclusions and resources</w:t>
            </w:r>
            <w:r>
              <w:rPr>
                <w:noProof/>
                <w:webHidden/>
              </w:rPr>
              <w:tab/>
            </w:r>
            <w:r>
              <w:rPr>
                <w:noProof/>
                <w:webHidden/>
              </w:rPr>
              <w:fldChar w:fldCharType="begin"/>
            </w:r>
            <w:r>
              <w:rPr>
                <w:noProof/>
                <w:webHidden/>
              </w:rPr>
              <w:instrText xml:space="preserve"> PAGEREF _Toc204158643 \h </w:instrText>
            </w:r>
            <w:r>
              <w:rPr>
                <w:noProof/>
                <w:webHidden/>
              </w:rPr>
            </w:r>
            <w:r>
              <w:rPr>
                <w:noProof/>
                <w:webHidden/>
              </w:rPr>
              <w:fldChar w:fldCharType="separate"/>
            </w:r>
            <w:r>
              <w:rPr>
                <w:noProof/>
                <w:webHidden/>
              </w:rPr>
              <w:t>26</w:t>
            </w:r>
            <w:r>
              <w:rPr>
                <w:noProof/>
                <w:webHidden/>
              </w:rPr>
              <w:fldChar w:fldCharType="end"/>
            </w:r>
          </w:hyperlink>
        </w:p>
        <w:p w14:paraId="4D665D97" w14:textId="6009B695" w:rsidR="00574A51" w:rsidRDefault="00574A51" w:rsidP="00574A51">
          <w:pPr>
            <w:pStyle w:val="TOC2"/>
            <w:tabs>
              <w:tab w:val="right" w:leader="dot" w:pos="9958"/>
            </w:tabs>
            <w:ind w:left="0"/>
            <w:rPr>
              <w:rFonts w:asciiTheme="minorHAnsi" w:eastAsiaTheme="minorEastAsia" w:hAnsiTheme="minorHAnsi"/>
              <w:noProof/>
              <w:color w:val="auto"/>
              <w:kern w:val="2"/>
              <w:sz w:val="24"/>
              <w:szCs w:val="24"/>
              <w:lang w:eastAsia="en-AU"/>
              <w14:ligatures w14:val="standardContextual"/>
            </w:rPr>
          </w:pPr>
          <w:hyperlink w:anchor="_Toc204158647" w:history="1">
            <w:r w:rsidRPr="00536B9E">
              <w:rPr>
                <w:rStyle w:val="Hyperlink"/>
                <w:noProof/>
              </w:rPr>
              <w:t>References</w:t>
            </w:r>
            <w:r>
              <w:rPr>
                <w:noProof/>
                <w:webHidden/>
              </w:rPr>
              <w:tab/>
            </w:r>
            <w:r>
              <w:rPr>
                <w:noProof/>
                <w:webHidden/>
              </w:rPr>
              <w:fldChar w:fldCharType="begin"/>
            </w:r>
            <w:r>
              <w:rPr>
                <w:noProof/>
                <w:webHidden/>
              </w:rPr>
              <w:instrText xml:space="preserve"> PAGEREF _Toc204158647 \h </w:instrText>
            </w:r>
            <w:r>
              <w:rPr>
                <w:noProof/>
                <w:webHidden/>
              </w:rPr>
            </w:r>
            <w:r>
              <w:rPr>
                <w:noProof/>
                <w:webHidden/>
              </w:rPr>
              <w:fldChar w:fldCharType="separate"/>
            </w:r>
            <w:r>
              <w:rPr>
                <w:noProof/>
                <w:webHidden/>
              </w:rPr>
              <w:t>29</w:t>
            </w:r>
            <w:r>
              <w:rPr>
                <w:noProof/>
                <w:webHidden/>
              </w:rPr>
              <w:fldChar w:fldCharType="end"/>
            </w:r>
          </w:hyperlink>
        </w:p>
        <w:p w14:paraId="6B2141BE" w14:textId="0E09AABC" w:rsidR="00574A51" w:rsidRDefault="00574A51" w:rsidP="00574A51">
          <w:pPr>
            <w:pStyle w:val="TOC2"/>
            <w:tabs>
              <w:tab w:val="right" w:leader="dot" w:pos="9958"/>
            </w:tabs>
            <w:ind w:left="0"/>
            <w:rPr>
              <w:rFonts w:asciiTheme="minorHAnsi" w:eastAsiaTheme="minorEastAsia" w:hAnsiTheme="minorHAnsi"/>
              <w:noProof/>
              <w:color w:val="auto"/>
              <w:kern w:val="2"/>
              <w:sz w:val="24"/>
              <w:szCs w:val="24"/>
              <w:lang w:eastAsia="en-AU"/>
              <w14:ligatures w14:val="standardContextual"/>
            </w:rPr>
          </w:pPr>
          <w:hyperlink w:anchor="_Toc204158648" w:history="1">
            <w:r w:rsidRPr="00536B9E">
              <w:rPr>
                <w:rStyle w:val="Hyperlink"/>
                <w:noProof/>
                <w:lang w:val="pt-PT"/>
              </w:rPr>
              <w:t>Appendix 1: Categories of accessible needs captured in the IVS and NVS questionnaires</w:t>
            </w:r>
            <w:r>
              <w:rPr>
                <w:noProof/>
                <w:webHidden/>
              </w:rPr>
              <w:tab/>
            </w:r>
            <w:r>
              <w:rPr>
                <w:noProof/>
                <w:webHidden/>
              </w:rPr>
              <w:fldChar w:fldCharType="begin"/>
            </w:r>
            <w:r>
              <w:rPr>
                <w:noProof/>
                <w:webHidden/>
              </w:rPr>
              <w:instrText xml:space="preserve"> PAGEREF _Toc204158648 \h </w:instrText>
            </w:r>
            <w:r>
              <w:rPr>
                <w:noProof/>
                <w:webHidden/>
              </w:rPr>
            </w:r>
            <w:r>
              <w:rPr>
                <w:noProof/>
                <w:webHidden/>
              </w:rPr>
              <w:fldChar w:fldCharType="separate"/>
            </w:r>
            <w:r>
              <w:rPr>
                <w:noProof/>
                <w:webHidden/>
              </w:rPr>
              <w:t>30</w:t>
            </w:r>
            <w:r>
              <w:rPr>
                <w:noProof/>
                <w:webHidden/>
              </w:rPr>
              <w:fldChar w:fldCharType="end"/>
            </w:r>
          </w:hyperlink>
        </w:p>
        <w:p w14:paraId="7805284E" w14:textId="75E418B2" w:rsidR="00B61E88" w:rsidRDefault="00B61E88">
          <w:r>
            <w:rPr>
              <w:b/>
              <w:bCs/>
              <w:noProof/>
            </w:rPr>
            <w:fldChar w:fldCharType="end"/>
          </w:r>
        </w:p>
      </w:sdtContent>
    </w:sdt>
    <w:p w14:paraId="21BB72E8" w14:textId="77777777" w:rsidR="00445590" w:rsidRDefault="00445590">
      <w:pPr>
        <w:spacing w:before="0" w:after="160" w:line="259" w:lineRule="auto"/>
        <w:rPr>
          <w:rFonts w:eastAsia="SimSun" w:cs="Times New Roman"/>
          <w:bCs/>
          <w:color w:val="441D4A" w:themeColor="accent1" w:themeShade="80"/>
          <w:sz w:val="32"/>
          <w:szCs w:val="26"/>
          <w:lang w:eastAsia="zh-CN"/>
        </w:rPr>
      </w:pPr>
      <w:r>
        <w:br w:type="page"/>
      </w:r>
    </w:p>
    <w:p w14:paraId="2F004FC8" w14:textId="77777777" w:rsidR="005C74DA" w:rsidRDefault="005C74DA" w:rsidP="001A4705">
      <w:pPr>
        <w:pStyle w:val="Heading2"/>
      </w:pPr>
      <w:bookmarkStart w:id="12" w:name="_Toc204158625"/>
      <w:r>
        <w:lastRenderedPageBreak/>
        <w:t>About this report: why accessible tourism matters</w:t>
      </w:r>
      <w:bookmarkEnd w:id="12"/>
    </w:p>
    <w:p w14:paraId="54553EBE" w14:textId="449BFB31" w:rsidR="00CF6D8A" w:rsidRPr="00CF6D8A" w:rsidRDefault="00CF6D8A" w:rsidP="00CF6D8A">
      <w:r w:rsidRPr="00CF6D8A">
        <w:t xml:space="preserve">Tourism is an important industry that has environmental, social and economic benefits and implications. It allows people to explore new places, cultures, ideas and ways of being. It facilitates cultural exchange and social interaction by connecting people from around the world. </w:t>
      </w:r>
    </w:p>
    <w:p w14:paraId="6554D903" w14:textId="77777777" w:rsidR="00CF6D8A" w:rsidRPr="00CF6D8A" w:rsidRDefault="00CF6D8A" w:rsidP="00CF6D8A">
      <w:r w:rsidRPr="00CF6D8A">
        <w:t>Such benefits are likely to be especially important to people with disability or long-term health conditions. However, access to the full suite of tourism options has not always been available to this cohort.</w:t>
      </w:r>
    </w:p>
    <w:p w14:paraId="031627B4" w14:textId="77777777" w:rsidR="00CF6D8A" w:rsidRDefault="00CF6D8A" w:rsidP="00CF6D8A">
      <w:r w:rsidRPr="00CF6D8A">
        <w:t>Increasing the accessibility of tourism options to people with disability or long-term health conditions is therefore an important societal goal. It is also a source of potential revenue and growth for the tourism industry.</w:t>
      </w:r>
    </w:p>
    <w:p w14:paraId="3970B42D" w14:textId="77777777" w:rsidR="005920E1" w:rsidRPr="005920E1" w:rsidRDefault="005920E1" w:rsidP="005920E1">
      <w:r w:rsidRPr="005920E1">
        <w:t>This study provides detail about the current condition of accessible travel in Australia. This will be of interest to Government bodies, NGO’s and industry stakeholders as they build a better and more accessible tourism industry.</w:t>
      </w:r>
    </w:p>
    <w:p w14:paraId="33BCF5D2" w14:textId="2FC240C6" w:rsidR="005920E1" w:rsidRPr="005920E1" w:rsidRDefault="005920E1" w:rsidP="005920E1">
      <w:r w:rsidRPr="005920E1">
        <w:t>Australian Bureau of Statistics (ABS) data shows that there are 5.5 million Australians (21.4%) with a disability</w:t>
      </w:r>
      <w:r w:rsidR="005201A3">
        <w:rPr>
          <w:rStyle w:val="FootnoteReference"/>
        </w:rPr>
        <w:footnoteReference w:id="1"/>
      </w:r>
      <w:r w:rsidRPr="005920E1">
        <w:t>. The same ABS report also shows that Australia has an ageing population (with the proportion of Australians aged 65 or older increasing from 13.3% to 17.1% between 2009 and 2022).</w:t>
      </w:r>
    </w:p>
    <w:p w14:paraId="732F3A19" w14:textId="6E4ACB57" w:rsidR="005920E1" w:rsidRPr="005920E1" w:rsidRDefault="005920E1" w:rsidP="005920E1">
      <w:r w:rsidRPr="005920E1">
        <w:t>This ageing of the population is likely to increase the number of people with accessible needs into the future (as older people have a significantly higher rate of disability than younger people)</w:t>
      </w:r>
      <w:r w:rsidR="005201A3">
        <w:rPr>
          <w:rStyle w:val="FootnoteReference"/>
        </w:rPr>
        <w:footnoteReference w:id="2"/>
      </w:r>
      <w:r w:rsidRPr="005920E1">
        <w:t xml:space="preserve">. This in turn will create extra demand for accessible tourism. </w:t>
      </w:r>
    </w:p>
    <w:p w14:paraId="75D4D5DA" w14:textId="77777777" w:rsidR="005920E1" w:rsidRDefault="005920E1" w:rsidP="005920E1">
      <w:r w:rsidRPr="005920E1">
        <w:t xml:space="preserve">Additionally, the outcomes framework of Australia’s Disability Strategy identifies social inclusion and participation as Policy Priority 3. This outlines the need for a transformation of systems including social, recreational, sporting, religious and cultural organisations to increase accessibility to people with disability. </w:t>
      </w:r>
    </w:p>
    <w:p w14:paraId="1764F7E0" w14:textId="04E5E618" w:rsidR="005920E1" w:rsidRPr="005920E1" w:rsidRDefault="005920E1" w:rsidP="007D6DCE">
      <w:r w:rsidRPr="005920E1">
        <w:t xml:space="preserve">The need to prepare for increasing numbers of travellers with accessible needs means that the tourism industry must continue the improvements seen in recent years in this space. </w:t>
      </w:r>
      <w:r w:rsidR="00616FF4" w:rsidRPr="00616FF4">
        <w:t>By continuing to advance accessibility, the tourism industry can meet the growing demand from travellers with accessible needs. Adopting available frameworks and action plans can help businesses create inclusive experiences that welcome a broader range of visitors.</w:t>
      </w:r>
    </w:p>
    <w:p w14:paraId="1785FE81" w14:textId="77777777" w:rsidR="005920E1" w:rsidRPr="005920E1" w:rsidRDefault="005920E1" w:rsidP="005920E1">
      <w:r w:rsidRPr="005920E1">
        <w:t>This purpose of this paper then is to provide data and insights to industry stakeholders, Government bodies, NGO’s and the public to assist in these aims.</w:t>
      </w:r>
    </w:p>
    <w:p w14:paraId="7C08A5CD" w14:textId="77777777" w:rsidR="00894AF5" w:rsidRDefault="00894AF5" w:rsidP="00894AF5">
      <w:pPr>
        <w:spacing w:before="0" w:after="160" w:line="259" w:lineRule="auto"/>
      </w:pPr>
      <w:r>
        <w:t xml:space="preserve">Notes: </w:t>
      </w:r>
    </w:p>
    <w:p w14:paraId="5719444F" w14:textId="77777777" w:rsidR="00894AF5" w:rsidRDefault="00894AF5" w:rsidP="00894AF5">
      <w:pPr>
        <w:spacing w:before="0" w:after="160" w:line="259" w:lineRule="auto"/>
      </w:pPr>
      <w:r>
        <w:t>1. All data and estimates presented in this report are for travel in calendar year 2024. The estimates for domestic trips are for people aged 15 or older.</w:t>
      </w:r>
    </w:p>
    <w:p w14:paraId="149D681A" w14:textId="709B6D99" w:rsidR="00894AF5" w:rsidRDefault="00894AF5" w:rsidP="00894AF5">
      <w:pPr>
        <w:spacing w:before="0" w:after="160" w:line="259" w:lineRule="auto"/>
      </w:pPr>
      <w:r>
        <w:lastRenderedPageBreak/>
        <w:t>2. In this report, the “travellers with accessible needs” group is inclusive of all respondents to Austrade’s National Visitor Survey or International Visitor Survey who identified as having a disability or long-term health condition or travelled with a person who did.</w:t>
      </w:r>
    </w:p>
    <w:p w14:paraId="23031023" w14:textId="33C66A4C" w:rsidR="00C32AF4" w:rsidRDefault="00894AF5" w:rsidP="00894AF5">
      <w:pPr>
        <w:spacing w:before="0" w:after="160" w:line="259" w:lineRule="auto"/>
        <w:rPr>
          <w:i/>
          <w:iCs/>
          <w:color w:val="300050" w:themeColor="text2"/>
          <w:sz w:val="18"/>
          <w:szCs w:val="18"/>
        </w:rPr>
      </w:pPr>
      <w:r>
        <w:t>3. In this report “traveller types” refers to domestic day trips, domestic overnight trips and international visitors.</w:t>
      </w:r>
      <w:r w:rsidR="00C32AF4">
        <w:br w:type="page"/>
      </w:r>
    </w:p>
    <w:p w14:paraId="4D38F1B9" w14:textId="4A251301" w:rsidR="0049068C" w:rsidRDefault="0049068C" w:rsidP="0049068C">
      <w:pPr>
        <w:pStyle w:val="Heading2"/>
        <w:rPr>
          <w:i/>
          <w:iCs/>
        </w:rPr>
      </w:pPr>
      <w:bookmarkStart w:id="13" w:name="_Toc204158626"/>
      <w:r w:rsidRPr="0049068C">
        <w:lastRenderedPageBreak/>
        <w:t>Size and value of</w:t>
      </w:r>
      <w:r>
        <w:rPr>
          <w:i/>
          <w:iCs/>
        </w:rPr>
        <w:t xml:space="preserve"> </w:t>
      </w:r>
      <w:r w:rsidRPr="0049068C">
        <w:t>accessible tourism</w:t>
      </w:r>
      <w:r>
        <w:rPr>
          <w:i/>
          <w:iCs/>
        </w:rPr>
        <w:t xml:space="preserve"> </w:t>
      </w:r>
      <w:r w:rsidRPr="0049068C">
        <w:t>in Australia</w:t>
      </w:r>
      <w:bookmarkEnd w:id="13"/>
    </w:p>
    <w:p w14:paraId="6E0E1C11" w14:textId="25D3E65B" w:rsidR="005920E1" w:rsidRPr="005920E1" w:rsidRDefault="009C1703" w:rsidP="0049068C">
      <w:pPr>
        <w:pStyle w:val="Caption"/>
      </w:pPr>
      <w:r>
        <w:t xml:space="preserve">Table </w:t>
      </w:r>
      <w:r>
        <w:fldChar w:fldCharType="begin"/>
      </w:r>
      <w:r>
        <w:instrText xml:space="preserve"> SEQ Table \* ARABIC </w:instrText>
      </w:r>
      <w:r>
        <w:fldChar w:fldCharType="separate"/>
      </w:r>
      <w:r w:rsidR="009F4089">
        <w:rPr>
          <w:noProof/>
        </w:rPr>
        <w:t>1</w:t>
      </w:r>
      <w:r>
        <w:fldChar w:fldCharType="end"/>
      </w:r>
      <w:r>
        <w:t>: Overview of trips, nights, and spend by traveller type</w:t>
      </w:r>
      <w:r w:rsidR="00C32AF4">
        <w:t xml:space="preserve"> (travellers with accessible needs)</w:t>
      </w:r>
    </w:p>
    <w:tbl>
      <w:tblPr>
        <w:tblStyle w:val="TableGrid"/>
        <w:tblW w:w="0" w:type="auto"/>
        <w:tblLook w:val="04A0" w:firstRow="1" w:lastRow="0" w:firstColumn="1" w:lastColumn="0" w:noHBand="0" w:noVBand="1"/>
        <w:tblCaption w:val="Accessible Tourism overview"/>
        <w:tblDescription w:val=" Trips Nights Spend&#10;Total 70.5 million trips &#10;(22% of total) 97.1 million nights &#10;(14% of total) $29.2 billion &#10;(17% of total)&#10;International 342,000 (4%) 9.9 million (3%) $1.1 billion (3.4%)&#10;Domestic overnight 23.9 million (21%) 87.2 million (22%) $21.5 billion (20%)&#10;Domestic daytrip 46.3 million (23%) - $6.6 billion (21%)&#10;"/>
      </w:tblPr>
      <w:tblGrid>
        <w:gridCol w:w="2405"/>
        <w:gridCol w:w="2517"/>
        <w:gridCol w:w="2518"/>
        <w:gridCol w:w="2518"/>
      </w:tblGrid>
      <w:tr w:rsidR="007B04BE" w14:paraId="52262C3F" w14:textId="77777777" w:rsidTr="00DA6999">
        <w:trPr>
          <w:trHeight w:val="263"/>
          <w:tblHeader/>
        </w:trPr>
        <w:tc>
          <w:tcPr>
            <w:tcW w:w="2405" w:type="dxa"/>
            <w:shd w:val="clear" w:color="auto" w:fill="300050" w:themeFill="text2"/>
          </w:tcPr>
          <w:p w14:paraId="4A6C00C0" w14:textId="77777777" w:rsidR="007B04BE" w:rsidRPr="00BA2D81" w:rsidRDefault="007B04BE" w:rsidP="00BA2D81">
            <w:pPr>
              <w:jc w:val="center"/>
              <w:rPr>
                <w:color w:val="FFFFFF" w:themeColor="background1"/>
                <w:sz w:val="28"/>
                <w:szCs w:val="28"/>
              </w:rPr>
            </w:pPr>
          </w:p>
        </w:tc>
        <w:tc>
          <w:tcPr>
            <w:tcW w:w="2517" w:type="dxa"/>
            <w:shd w:val="clear" w:color="auto" w:fill="300050" w:themeFill="text2"/>
          </w:tcPr>
          <w:p w14:paraId="1A882F96" w14:textId="7A55D8D3" w:rsidR="007B04BE" w:rsidRPr="00175BF3" w:rsidRDefault="007B04BE" w:rsidP="00BA2D81">
            <w:pPr>
              <w:jc w:val="center"/>
              <w:rPr>
                <w:color w:val="FFFFFF" w:themeColor="background1"/>
                <w:sz w:val="24"/>
                <w:szCs w:val="24"/>
              </w:rPr>
            </w:pPr>
            <w:r w:rsidRPr="00175BF3">
              <w:rPr>
                <w:color w:val="FFFFFF" w:themeColor="background1"/>
                <w:sz w:val="24"/>
                <w:szCs w:val="24"/>
              </w:rPr>
              <w:t>Trips</w:t>
            </w:r>
          </w:p>
        </w:tc>
        <w:tc>
          <w:tcPr>
            <w:tcW w:w="2518" w:type="dxa"/>
            <w:shd w:val="clear" w:color="auto" w:fill="300050" w:themeFill="text2"/>
          </w:tcPr>
          <w:p w14:paraId="75964084" w14:textId="0BF881B2" w:rsidR="007B04BE" w:rsidRPr="00175BF3" w:rsidRDefault="007B04BE" w:rsidP="00BA2D81">
            <w:pPr>
              <w:jc w:val="center"/>
              <w:rPr>
                <w:color w:val="FFFFFF" w:themeColor="background1"/>
                <w:sz w:val="24"/>
                <w:szCs w:val="24"/>
              </w:rPr>
            </w:pPr>
            <w:r w:rsidRPr="00175BF3">
              <w:rPr>
                <w:color w:val="FFFFFF" w:themeColor="background1"/>
                <w:sz w:val="24"/>
                <w:szCs w:val="24"/>
              </w:rPr>
              <w:t>Nights</w:t>
            </w:r>
          </w:p>
        </w:tc>
        <w:tc>
          <w:tcPr>
            <w:tcW w:w="2518" w:type="dxa"/>
            <w:shd w:val="clear" w:color="auto" w:fill="300050" w:themeFill="text2"/>
          </w:tcPr>
          <w:p w14:paraId="2035FC8B" w14:textId="5F4C181F" w:rsidR="007B04BE" w:rsidRPr="00175BF3" w:rsidRDefault="007B04BE" w:rsidP="00BA2D81">
            <w:pPr>
              <w:jc w:val="center"/>
              <w:rPr>
                <w:color w:val="FFFFFF" w:themeColor="background1"/>
                <w:sz w:val="24"/>
                <w:szCs w:val="24"/>
              </w:rPr>
            </w:pPr>
            <w:r w:rsidRPr="00175BF3">
              <w:rPr>
                <w:color w:val="FFFFFF" w:themeColor="background1"/>
                <w:sz w:val="24"/>
                <w:szCs w:val="24"/>
              </w:rPr>
              <w:t>Spend</w:t>
            </w:r>
            <w:r w:rsidR="00D846D2">
              <w:rPr>
                <w:color w:val="FFFFFF" w:themeColor="background1"/>
                <w:sz w:val="24"/>
                <w:szCs w:val="24"/>
              </w:rPr>
              <w:t xml:space="preserve"> in Australia</w:t>
            </w:r>
          </w:p>
        </w:tc>
      </w:tr>
      <w:tr w:rsidR="007B04BE" w14:paraId="3AA45F8A" w14:textId="77777777" w:rsidTr="007B04BE">
        <w:tc>
          <w:tcPr>
            <w:tcW w:w="2405" w:type="dxa"/>
            <w:vAlign w:val="center"/>
          </w:tcPr>
          <w:p w14:paraId="0D4CE6A4" w14:textId="7FF2FA66" w:rsidR="007B04BE" w:rsidRPr="007B04BE" w:rsidRDefault="007B04BE" w:rsidP="007B04BE">
            <w:r w:rsidRPr="007B04BE">
              <w:t>Total</w:t>
            </w:r>
          </w:p>
        </w:tc>
        <w:tc>
          <w:tcPr>
            <w:tcW w:w="2517" w:type="dxa"/>
            <w:vAlign w:val="center"/>
          </w:tcPr>
          <w:p w14:paraId="1D7C5F3B" w14:textId="09B55A11" w:rsidR="007B04BE" w:rsidRPr="007B04BE" w:rsidRDefault="007B04BE" w:rsidP="007B04BE">
            <w:pPr>
              <w:jc w:val="center"/>
            </w:pPr>
            <w:r w:rsidRPr="00FD48C2">
              <w:t xml:space="preserve">70.5 million trips </w:t>
            </w:r>
            <w:r w:rsidRPr="007B04BE">
              <w:br/>
              <w:t>(</w:t>
            </w:r>
            <w:r w:rsidRPr="00FD48C2">
              <w:t>22% of total</w:t>
            </w:r>
            <w:r w:rsidRPr="007B04BE">
              <w:t>)</w:t>
            </w:r>
          </w:p>
        </w:tc>
        <w:tc>
          <w:tcPr>
            <w:tcW w:w="2518" w:type="dxa"/>
            <w:vAlign w:val="center"/>
          </w:tcPr>
          <w:p w14:paraId="475E14F4" w14:textId="6D55D926" w:rsidR="007B04BE" w:rsidRPr="007B04BE" w:rsidRDefault="007B04BE" w:rsidP="007B04BE">
            <w:pPr>
              <w:jc w:val="center"/>
            </w:pPr>
            <w:r w:rsidRPr="00FD48C2">
              <w:t xml:space="preserve">97.1 million nights </w:t>
            </w:r>
            <w:r w:rsidRPr="007B04BE">
              <w:br/>
              <w:t>(</w:t>
            </w:r>
            <w:r w:rsidRPr="00FD48C2">
              <w:t>14% of total</w:t>
            </w:r>
            <w:r w:rsidRPr="007B04BE">
              <w:t>)</w:t>
            </w:r>
          </w:p>
        </w:tc>
        <w:tc>
          <w:tcPr>
            <w:tcW w:w="2518" w:type="dxa"/>
            <w:vAlign w:val="center"/>
          </w:tcPr>
          <w:p w14:paraId="7F56A928" w14:textId="581F66A1" w:rsidR="007B04BE" w:rsidRPr="007B04BE" w:rsidRDefault="007B04BE" w:rsidP="007B04BE">
            <w:pPr>
              <w:jc w:val="center"/>
            </w:pPr>
            <w:r w:rsidRPr="00FD48C2">
              <w:t xml:space="preserve">$29.2 billion </w:t>
            </w:r>
            <w:r w:rsidRPr="007B04BE">
              <w:br/>
              <w:t>(</w:t>
            </w:r>
            <w:r w:rsidRPr="00FD48C2">
              <w:t>17% of total</w:t>
            </w:r>
            <w:r w:rsidRPr="007B04BE">
              <w:t>)</w:t>
            </w:r>
          </w:p>
        </w:tc>
      </w:tr>
      <w:tr w:rsidR="007B04BE" w14:paraId="2A4792B9" w14:textId="77777777" w:rsidTr="007B04BE">
        <w:tc>
          <w:tcPr>
            <w:tcW w:w="2405" w:type="dxa"/>
          </w:tcPr>
          <w:p w14:paraId="53641DCB" w14:textId="77DCE746" w:rsidR="007B04BE" w:rsidRPr="00FD48C2" w:rsidRDefault="007B04BE" w:rsidP="00FD48C2">
            <w:r w:rsidRPr="00FD48C2">
              <w:t>International</w:t>
            </w:r>
          </w:p>
        </w:tc>
        <w:tc>
          <w:tcPr>
            <w:tcW w:w="2517" w:type="dxa"/>
            <w:vAlign w:val="center"/>
          </w:tcPr>
          <w:p w14:paraId="4EF1FC49" w14:textId="09E6567B" w:rsidR="007B04BE" w:rsidRDefault="007B04BE" w:rsidP="007B04BE">
            <w:pPr>
              <w:jc w:val="center"/>
            </w:pPr>
            <w:r w:rsidRPr="00FD48C2">
              <w:t>342,000 (4%)</w:t>
            </w:r>
          </w:p>
        </w:tc>
        <w:tc>
          <w:tcPr>
            <w:tcW w:w="2518" w:type="dxa"/>
            <w:vAlign w:val="center"/>
          </w:tcPr>
          <w:p w14:paraId="34685D7A" w14:textId="3ADCCB1F" w:rsidR="007B04BE" w:rsidRDefault="007B04BE" w:rsidP="007B04BE">
            <w:pPr>
              <w:jc w:val="center"/>
            </w:pPr>
            <w:r w:rsidRPr="00FD48C2">
              <w:t>9.9 million (3%)</w:t>
            </w:r>
          </w:p>
        </w:tc>
        <w:tc>
          <w:tcPr>
            <w:tcW w:w="2518" w:type="dxa"/>
            <w:vAlign w:val="center"/>
          </w:tcPr>
          <w:p w14:paraId="22D6ECCF" w14:textId="504C73F0" w:rsidR="007B04BE" w:rsidRDefault="007B04BE" w:rsidP="007B04BE">
            <w:pPr>
              <w:jc w:val="center"/>
            </w:pPr>
            <w:r w:rsidRPr="00FD48C2">
              <w:t>$1.1 billion (3%)</w:t>
            </w:r>
          </w:p>
        </w:tc>
      </w:tr>
      <w:tr w:rsidR="007B04BE" w14:paraId="6AAD85FA" w14:textId="77777777" w:rsidTr="007B04BE">
        <w:tc>
          <w:tcPr>
            <w:tcW w:w="2405" w:type="dxa"/>
          </w:tcPr>
          <w:p w14:paraId="760AB23E" w14:textId="40AC77D6" w:rsidR="007B04BE" w:rsidRPr="00FD48C2" w:rsidRDefault="007B04BE" w:rsidP="00FD48C2">
            <w:r w:rsidRPr="00FD48C2">
              <w:t>Domestic overnight</w:t>
            </w:r>
          </w:p>
        </w:tc>
        <w:tc>
          <w:tcPr>
            <w:tcW w:w="2517" w:type="dxa"/>
            <w:vAlign w:val="center"/>
          </w:tcPr>
          <w:p w14:paraId="16D48EAA" w14:textId="2E9A682E" w:rsidR="007B04BE" w:rsidRDefault="007B04BE" w:rsidP="007B04BE">
            <w:pPr>
              <w:jc w:val="center"/>
            </w:pPr>
            <w:r w:rsidRPr="00FD48C2">
              <w:t>23.9 million (21%)</w:t>
            </w:r>
          </w:p>
        </w:tc>
        <w:tc>
          <w:tcPr>
            <w:tcW w:w="2518" w:type="dxa"/>
            <w:vAlign w:val="center"/>
          </w:tcPr>
          <w:p w14:paraId="7371BFDC" w14:textId="47F7AA56" w:rsidR="007B04BE" w:rsidRDefault="007B04BE" w:rsidP="007B04BE">
            <w:pPr>
              <w:jc w:val="center"/>
            </w:pPr>
            <w:r w:rsidRPr="00FD48C2">
              <w:t>87.2 million (22%)</w:t>
            </w:r>
          </w:p>
        </w:tc>
        <w:tc>
          <w:tcPr>
            <w:tcW w:w="2518" w:type="dxa"/>
            <w:vAlign w:val="center"/>
          </w:tcPr>
          <w:p w14:paraId="6DDA4C49" w14:textId="4F273F92" w:rsidR="007B04BE" w:rsidRDefault="007B04BE" w:rsidP="007B04BE">
            <w:pPr>
              <w:jc w:val="center"/>
            </w:pPr>
            <w:r w:rsidRPr="00FD48C2">
              <w:t>$21.5 billion (20%)</w:t>
            </w:r>
          </w:p>
        </w:tc>
      </w:tr>
      <w:tr w:rsidR="007B04BE" w14:paraId="060339BB" w14:textId="77777777" w:rsidTr="007B04BE">
        <w:tc>
          <w:tcPr>
            <w:tcW w:w="2405" w:type="dxa"/>
          </w:tcPr>
          <w:p w14:paraId="68A299B3" w14:textId="6E752DDB" w:rsidR="007B04BE" w:rsidRPr="00FD48C2" w:rsidRDefault="007B04BE" w:rsidP="005920E1">
            <w:r w:rsidRPr="00FD48C2">
              <w:t>Domestic day</w:t>
            </w:r>
            <w:r w:rsidR="00D042E8">
              <w:t xml:space="preserve"> </w:t>
            </w:r>
            <w:r w:rsidRPr="00FD48C2">
              <w:t>trip</w:t>
            </w:r>
          </w:p>
        </w:tc>
        <w:tc>
          <w:tcPr>
            <w:tcW w:w="2517" w:type="dxa"/>
            <w:vAlign w:val="center"/>
          </w:tcPr>
          <w:p w14:paraId="1DF9B298" w14:textId="7FF8E140" w:rsidR="007B04BE" w:rsidRDefault="007B04BE" w:rsidP="007B04BE">
            <w:pPr>
              <w:jc w:val="center"/>
            </w:pPr>
            <w:r w:rsidRPr="00FD48C2">
              <w:t>46.3 million (23%)</w:t>
            </w:r>
          </w:p>
        </w:tc>
        <w:tc>
          <w:tcPr>
            <w:tcW w:w="2518" w:type="dxa"/>
            <w:vAlign w:val="center"/>
          </w:tcPr>
          <w:p w14:paraId="0F4544D8" w14:textId="5ADC27F1" w:rsidR="007B04BE" w:rsidRDefault="00186BE9" w:rsidP="007B04BE">
            <w:pPr>
              <w:jc w:val="center"/>
            </w:pPr>
            <w:r>
              <w:t>-</w:t>
            </w:r>
          </w:p>
        </w:tc>
        <w:tc>
          <w:tcPr>
            <w:tcW w:w="2518" w:type="dxa"/>
            <w:vAlign w:val="center"/>
          </w:tcPr>
          <w:p w14:paraId="6F6EBADA" w14:textId="429A446A" w:rsidR="007B04BE" w:rsidRDefault="007B04BE" w:rsidP="007B04BE">
            <w:pPr>
              <w:jc w:val="center"/>
            </w:pPr>
            <w:r w:rsidRPr="00FD48C2">
              <w:t>$6.6 billion (21%)</w:t>
            </w:r>
          </w:p>
        </w:tc>
      </w:tr>
    </w:tbl>
    <w:p w14:paraId="5219F974" w14:textId="77777777" w:rsidR="00381862" w:rsidRPr="00381862" w:rsidRDefault="00381862" w:rsidP="00381862">
      <w:pPr>
        <w:numPr>
          <w:ilvl w:val="0"/>
          <w:numId w:val="48"/>
        </w:numPr>
        <w:spacing w:before="0" w:after="0" w:line="240" w:lineRule="auto"/>
        <w:ind w:left="714" w:hanging="357"/>
        <w:rPr>
          <w:sz w:val="16"/>
          <w:szCs w:val="16"/>
        </w:rPr>
      </w:pPr>
      <w:bookmarkStart w:id="14" w:name="_Toc202253184"/>
      <w:bookmarkStart w:id="15" w:name="_Toc202255471"/>
      <w:r w:rsidRPr="00381862">
        <w:rPr>
          <w:sz w:val="16"/>
          <w:szCs w:val="16"/>
        </w:rPr>
        <w:t>% figures in brackets show Travellers with accessible needs’ share of trips for each metric. Total trip spend includes spend in Australia only.</w:t>
      </w:r>
    </w:p>
    <w:p w14:paraId="4983BE77" w14:textId="77777777" w:rsidR="00381862" w:rsidRPr="00381862" w:rsidRDefault="00381862" w:rsidP="00381862">
      <w:pPr>
        <w:numPr>
          <w:ilvl w:val="0"/>
          <w:numId w:val="48"/>
        </w:numPr>
        <w:spacing w:before="0" w:after="0" w:line="240" w:lineRule="auto"/>
        <w:ind w:left="714" w:hanging="357"/>
        <w:rPr>
          <w:sz w:val="16"/>
          <w:szCs w:val="16"/>
        </w:rPr>
      </w:pPr>
      <w:r w:rsidRPr="00381862">
        <w:rPr>
          <w:sz w:val="16"/>
          <w:szCs w:val="16"/>
        </w:rPr>
        <w:t xml:space="preserve">Total spend includes ‘short-term’ visitors only; those who stay in Australia for less than 12 months. </w:t>
      </w:r>
    </w:p>
    <w:p w14:paraId="710D0E5A" w14:textId="45105035" w:rsidR="00374FD6" w:rsidRPr="00A26D63" w:rsidRDefault="0056104B" w:rsidP="00A26D63">
      <w:pPr>
        <w:pStyle w:val="Heading3"/>
      </w:pPr>
      <w:bookmarkStart w:id="16" w:name="_Toc204158232"/>
      <w:bookmarkStart w:id="17" w:name="_Toc204158458"/>
      <w:bookmarkStart w:id="18" w:name="_Toc204158627"/>
      <w:r w:rsidRPr="00A26D63">
        <w:t>International travellers with accessible needs spent $1.1 billion in 2024</w:t>
      </w:r>
      <w:bookmarkEnd w:id="14"/>
      <w:bookmarkEnd w:id="15"/>
      <w:bookmarkEnd w:id="16"/>
      <w:bookmarkEnd w:id="17"/>
      <w:bookmarkEnd w:id="18"/>
    </w:p>
    <w:p w14:paraId="3085F075" w14:textId="77777777" w:rsidR="00E7204E" w:rsidRPr="00E7204E" w:rsidRDefault="00E7204E" w:rsidP="00E7204E">
      <w:r w:rsidRPr="00E7204E">
        <w:t xml:space="preserve">In 2024, Australia received 8.3 million international visitors, 342,000 of whom had accessible needs. </w:t>
      </w:r>
    </w:p>
    <w:p w14:paraId="034E088A" w14:textId="41248923" w:rsidR="00E7204E" w:rsidRPr="00E7204E" w:rsidRDefault="00E7204E" w:rsidP="00E7204E">
      <w:r w:rsidRPr="00E7204E">
        <w:t>The average trip length of this group was 31.5 nights, roughly 1 week shorter than other international travellers while spend per night between the 2 groups was almost equal ($113 for travellers with accessible needs vs $112 for other travellers). As a result, travellers with accessible needs had a lower average spend per trip than other travellers.</w:t>
      </w:r>
    </w:p>
    <w:p w14:paraId="63AA5957" w14:textId="0D1B7442" w:rsidR="00E7204E" w:rsidRPr="00E7204E" w:rsidRDefault="00E7204E" w:rsidP="00E7204E">
      <w:r w:rsidRPr="00E7204E">
        <w:t>Most international travellers with accessible needs came from just 3 countries:</w:t>
      </w:r>
    </w:p>
    <w:p w14:paraId="19325C31" w14:textId="77777777" w:rsidR="00E7204E" w:rsidRPr="00E7204E" w:rsidRDefault="00E7204E" w:rsidP="00E7204E">
      <w:pPr>
        <w:pStyle w:val="NumberedList"/>
      </w:pPr>
      <w:r w:rsidRPr="00E7204E">
        <w:t>New Zealand (25%)</w:t>
      </w:r>
    </w:p>
    <w:p w14:paraId="3C077867" w14:textId="77777777" w:rsidR="00E7204E" w:rsidRPr="00E7204E" w:rsidRDefault="00E7204E" w:rsidP="00E7204E">
      <w:pPr>
        <w:pStyle w:val="NumberedList"/>
      </w:pPr>
      <w:r w:rsidRPr="00E7204E">
        <w:t>USA (19%)</w:t>
      </w:r>
    </w:p>
    <w:p w14:paraId="05A2CE87" w14:textId="77777777" w:rsidR="00E7204E" w:rsidRPr="00E7204E" w:rsidRDefault="00E7204E" w:rsidP="00E7204E">
      <w:pPr>
        <w:pStyle w:val="NumberedList"/>
      </w:pPr>
      <w:r w:rsidRPr="00E7204E">
        <w:t>UK (15%)</w:t>
      </w:r>
    </w:p>
    <w:p w14:paraId="04384125" w14:textId="06C9A4BA" w:rsidR="009B03B6" w:rsidRDefault="009B03B6" w:rsidP="00787910">
      <w:pPr>
        <w:pStyle w:val="Heading4"/>
      </w:pPr>
      <w:r w:rsidRPr="009B03B6">
        <w:t>International travellers with accessible needs trips facts and figures (2024)</w:t>
      </w:r>
    </w:p>
    <w:p w14:paraId="07A7179C" w14:textId="7F76AD1A" w:rsidR="00CB2866" w:rsidRDefault="00CB2866" w:rsidP="00787910">
      <w:pPr>
        <w:pStyle w:val="NumberedList"/>
        <w:numPr>
          <w:ilvl w:val="0"/>
          <w:numId w:val="14"/>
        </w:numPr>
      </w:pPr>
      <w:r>
        <w:t>342,000 accessible international trips in 2024 (4.1% of total international travellers)</w:t>
      </w:r>
    </w:p>
    <w:p w14:paraId="37AD1323" w14:textId="7691E6CD" w:rsidR="00974A61" w:rsidRDefault="00CB2866" w:rsidP="00787910">
      <w:pPr>
        <w:pStyle w:val="NumberedList"/>
        <w:numPr>
          <w:ilvl w:val="0"/>
          <w:numId w:val="14"/>
        </w:numPr>
      </w:pPr>
      <w:r>
        <w:t>International spend reached $1.1 billion for Travellers with accessible needs (3.4% of total international spend)</w:t>
      </w:r>
    </w:p>
    <w:p w14:paraId="24C0BA58" w14:textId="3767FEBC" w:rsidR="00974A61" w:rsidRDefault="00974A61" w:rsidP="00787910">
      <w:pPr>
        <w:pStyle w:val="NumberedList"/>
        <w:numPr>
          <w:ilvl w:val="0"/>
          <w:numId w:val="14"/>
        </w:numPr>
      </w:pPr>
      <w:r>
        <w:t>9.9</w:t>
      </w:r>
      <w:r w:rsidR="00CB2866">
        <w:t xml:space="preserve">million accessible international visitor nights in 2024 (3.4% of total </w:t>
      </w:r>
      <w:proofErr w:type="spellStart"/>
      <w:r w:rsidR="00CB2866">
        <w:t>intl</w:t>
      </w:r>
      <w:proofErr w:type="spellEnd"/>
      <w:r w:rsidR="00CB2866">
        <w:t xml:space="preserve"> nights)</w:t>
      </w:r>
    </w:p>
    <w:p w14:paraId="1B853290" w14:textId="72A9A1C5" w:rsidR="00E279FE" w:rsidRDefault="00CB2866" w:rsidP="00787910">
      <w:pPr>
        <w:pStyle w:val="NumberedList"/>
        <w:numPr>
          <w:ilvl w:val="0"/>
          <w:numId w:val="14"/>
        </w:numPr>
      </w:pPr>
      <w:r>
        <w:t>Average trip length for travellers with accessible needs was 31.5 nights (3</w:t>
      </w:r>
      <w:r w:rsidR="00A21525">
        <w:t>9.0</w:t>
      </w:r>
      <w:r>
        <w:t xml:space="preserve"> nights for other </w:t>
      </w:r>
      <w:r w:rsidR="00974A61">
        <w:t>international</w:t>
      </w:r>
      <w:r>
        <w:t xml:space="preserve"> travellers)</w:t>
      </w:r>
    </w:p>
    <w:p w14:paraId="2888405A" w14:textId="71F9E9A4" w:rsidR="00E279FE" w:rsidRDefault="00E279FE" w:rsidP="00787910">
      <w:pPr>
        <w:pStyle w:val="NumberedList"/>
        <w:numPr>
          <w:ilvl w:val="0"/>
          <w:numId w:val="14"/>
        </w:numPr>
      </w:pPr>
      <w:r>
        <w:t xml:space="preserve">43% overseas travellers came for a holiday, 43% for visiting friends and relatives, 6% for business and 4% for education </w:t>
      </w:r>
    </w:p>
    <w:p w14:paraId="0E19860E" w14:textId="77777777" w:rsidR="00E279FE" w:rsidRDefault="00E279FE" w:rsidP="00787910">
      <w:pPr>
        <w:pStyle w:val="NumberedList"/>
        <w:numPr>
          <w:ilvl w:val="0"/>
          <w:numId w:val="14"/>
        </w:numPr>
      </w:pPr>
      <w:r>
        <w:t>28% of trip nights spent in regional areas (2.8 million nights)</w:t>
      </w:r>
    </w:p>
    <w:p w14:paraId="3CD93404" w14:textId="2CBD962A" w:rsidR="00EB5FBA" w:rsidRPr="00EB5FBA" w:rsidRDefault="00E279FE" w:rsidP="00787910">
      <w:pPr>
        <w:pStyle w:val="NumberedList"/>
        <w:numPr>
          <w:ilvl w:val="0"/>
          <w:numId w:val="14"/>
        </w:numPr>
      </w:pPr>
      <w:r>
        <w:t>Average spend per trip was $3,5</w:t>
      </w:r>
      <w:r w:rsidR="004B0B5A">
        <w:t>61</w:t>
      </w:r>
      <w:r>
        <w:t xml:space="preserve"> in 2024 ($79</w:t>
      </w:r>
      <w:r w:rsidR="004B0B5A">
        <w:t>8</w:t>
      </w:r>
      <w:r>
        <w:t xml:space="preserve"> less than other international travellers)</w:t>
      </w:r>
    </w:p>
    <w:p w14:paraId="78D561E7" w14:textId="40907C3F" w:rsidR="00032D2F" w:rsidRPr="00374FD6" w:rsidRDefault="00032D2F" w:rsidP="00A26D63">
      <w:pPr>
        <w:pStyle w:val="Heading3"/>
      </w:pPr>
      <w:bookmarkStart w:id="19" w:name="_Toc202253185"/>
      <w:bookmarkStart w:id="20" w:name="_Toc202255472"/>
      <w:bookmarkStart w:id="21" w:name="_Toc204158233"/>
      <w:bookmarkStart w:id="22" w:name="_Toc204158459"/>
      <w:bookmarkStart w:id="23" w:name="_Toc204158628"/>
      <w:r>
        <w:lastRenderedPageBreak/>
        <w:t>Domestic overnight</w:t>
      </w:r>
      <w:r w:rsidR="00242E09">
        <w:t xml:space="preserve"> trips of</w:t>
      </w:r>
      <w:r>
        <w:t xml:space="preserve"> travellers with accessible needs were 21%of total trips in 2024</w:t>
      </w:r>
      <w:bookmarkEnd w:id="19"/>
      <w:bookmarkEnd w:id="20"/>
      <w:bookmarkEnd w:id="21"/>
      <w:bookmarkEnd w:id="22"/>
      <w:bookmarkEnd w:id="23"/>
    </w:p>
    <w:p w14:paraId="45EA9F3B" w14:textId="77777777" w:rsidR="00A21525" w:rsidRPr="00A21525" w:rsidRDefault="00A21525" w:rsidP="006A173E">
      <w:r w:rsidRPr="00A21525">
        <w:t xml:space="preserve">Domestic overnight travellers with accessible needs are a large contributor to tourism in Australia. These travellers accounted for 1 in 5 trips and dollars spent by domestic overnight travellers in Australia in 2024. </w:t>
      </w:r>
    </w:p>
    <w:p w14:paraId="10CCB32C" w14:textId="77777777" w:rsidR="006A173E" w:rsidRDefault="00756D4E" w:rsidP="006A173E">
      <w:pPr>
        <w:rPr>
          <w:bCs/>
        </w:rPr>
      </w:pPr>
      <w:r w:rsidRPr="00756D4E">
        <w:t>Like other travellers, domestic overnight travellers with accessible needs are most likely to travel for a holiday or to visit friends and family. The majority (64%) of trip nights of domestic overnight travellers were spent in regional areas. This was equal to the figure for other travellers.</w:t>
      </w:r>
    </w:p>
    <w:p w14:paraId="03037E60" w14:textId="3673BAA9" w:rsidR="00032D2F" w:rsidRDefault="007C1BD9" w:rsidP="00756D4E">
      <w:pPr>
        <w:pStyle w:val="Heading4"/>
      </w:pPr>
      <w:r w:rsidRPr="007C1BD9">
        <w:t xml:space="preserve">Domestic overnight </w:t>
      </w:r>
      <w:r w:rsidR="00032D2F" w:rsidRPr="009B03B6">
        <w:t>travellers with accessible needs trips facts and figures (2024)</w:t>
      </w:r>
    </w:p>
    <w:p w14:paraId="367F6E3E" w14:textId="293D0F82" w:rsidR="00801F0E" w:rsidRDefault="007C1BD9" w:rsidP="006B6FE8">
      <w:pPr>
        <w:pStyle w:val="NumberedList"/>
        <w:numPr>
          <w:ilvl w:val="0"/>
          <w:numId w:val="47"/>
        </w:numPr>
      </w:pPr>
      <w:r w:rsidRPr="007C1BD9">
        <w:t>23.9 million domestic overnight trips in 2024 (</w:t>
      </w:r>
      <w:r w:rsidR="00A21525">
        <w:t>21</w:t>
      </w:r>
      <w:r w:rsidRPr="007C1BD9">
        <w:t>% of total domestic overnight travellers)</w:t>
      </w:r>
    </w:p>
    <w:p w14:paraId="5ACA5C23" w14:textId="2F5DDF09" w:rsidR="00801F0E" w:rsidRDefault="007C1BD9" w:rsidP="006B6FE8">
      <w:pPr>
        <w:pStyle w:val="NumberedList"/>
        <w:numPr>
          <w:ilvl w:val="0"/>
          <w:numId w:val="47"/>
        </w:numPr>
      </w:pPr>
      <w:r w:rsidRPr="007C1BD9">
        <w:t>Domestic overnight spend reached $21.5 billion</w:t>
      </w:r>
      <w:r>
        <w:t xml:space="preserve"> </w:t>
      </w:r>
      <w:r w:rsidRPr="007C1BD9">
        <w:t>(</w:t>
      </w:r>
      <w:r w:rsidR="00A21525">
        <w:t>20</w:t>
      </w:r>
      <w:r w:rsidRPr="007C1BD9">
        <w:t>% of total domestic overnight spend)</w:t>
      </w:r>
    </w:p>
    <w:p w14:paraId="483D1D11" w14:textId="1B9AE131" w:rsidR="007C1BD9" w:rsidRDefault="007C1BD9" w:rsidP="006B6FE8">
      <w:pPr>
        <w:pStyle w:val="NumberedList"/>
        <w:numPr>
          <w:ilvl w:val="0"/>
          <w:numId w:val="47"/>
        </w:numPr>
      </w:pPr>
      <w:r w:rsidRPr="007C1BD9">
        <w:t>87.2 million domestic overnight visitor nights in 2024</w:t>
      </w:r>
      <w:r>
        <w:t xml:space="preserve"> </w:t>
      </w:r>
      <w:r w:rsidRPr="007C1BD9">
        <w:t>(2</w:t>
      </w:r>
      <w:r w:rsidR="00A21525">
        <w:t>2</w:t>
      </w:r>
      <w:r w:rsidRPr="007C1BD9">
        <w:t xml:space="preserve">% of total domestic nights) </w:t>
      </w:r>
    </w:p>
    <w:p w14:paraId="3C3E64F6" w14:textId="77777777" w:rsidR="007C1BD9" w:rsidRDefault="007C1BD9" w:rsidP="006B6FE8">
      <w:pPr>
        <w:pStyle w:val="NumberedList"/>
        <w:numPr>
          <w:ilvl w:val="0"/>
          <w:numId w:val="47"/>
        </w:numPr>
      </w:pPr>
      <w:r w:rsidRPr="007C1BD9">
        <w:t>Average trip length was 3.6 nights</w:t>
      </w:r>
      <w:r>
        <w:t xml:space="preserve"> </w:t>
      </w:r>
      <w:r w:rsidRPr="007C1BD9">
        <w:t xml:space="preserve">(3.4 nights for other traveller domestic nights) </w:t>
      </w:r>
    </w:p>
    <w:p w14:paraId="28453FFD" w14:textId="77777777" w:rsidR="007C1BD9" w:rsidRDefault="007C1BD9" w:rsidP="006B6FE8">
      <w:pPr>
        <w:pStyle w:val="NumberedList"/>
        <w:numPr>
          <w:ilvl w:val="0"/>
          <w:numId w:val="47"/>
        </w:numPr>
      </w:pPr>
      <w:r w:rsidRPr="007C1BD9">
        <w:t>43% domestic overnight travellers went for a holiday, 36% visited friends or relatives and 14% travelled for business</w:t>
      </w:r>
    </w:p>
    <w:p w14:paraId="09BD47BC" w14:textId="77777777" w:rsidR="007C1BD9" w:rsidRDefault="007C1BD9" w:rsidP="006B6FE8">
      <w:pPr>
        <w:pStyle w:val="NumberedList"/>
        <w:numPr>
          <w:ilvl w:val="0"/>
          <w:numId w:val="47"/>
        </w:numPr>
      </w:pPr>
      <w:r w:rsidRPr="007C1BD9">
        <w:t xml:space="preserve">64% of trip nights spent in regional Australia in 2024 </w:t>
      </w:r>
    </w:p>
    <w:p w14:paraId="5BA56327" w14:textId="4FBBD1D3" w:rsidR="00032D2F" w:rsidRDefault="007C1BD9" w:rsidP="006B6FE8">
      <w:pPr>
        <w:pStyle w:val="NumberedList"/>
        <w:numPr>
          <w:ilvl w:val="0"/>
          <w:numId w:val="47"/>
        </w:numPr>
      </w:pPr>
      <w:r w:rsidRPr="007C1BD9">
        <w:t>Average spend per trip was $90</w:t>
      </w:r>
      <w:r w:rsidR="00A21525">
        <w:t>6</w:t>
      </w:r>
      <w:r w:rsidRPr="007C1BD9">
        <w:t xml:space="preserve"> in 2024 ($73 </w:t>
      </w:r>
      <w:r w:rsidRPr="00801F0E">
        <w:t>less</w:t>
      </w:r>
      <w:r w:rsidRPr="007C1BD9">
        <w:t xml:space="preserve"> than other </w:t>
      </w:r>
      <w:r w:rsidR="005B1DFD" w:rsidRPr="007C1BD9">
        <w:t>international</w:t>
      </w:r>
      <w:r w:rsidRPr="007C1BD9">
        <w:t xml:space="preserve"> travellers)</w:t>
      </w:r>
    </w:p>
    <w:p w14:paraId="5C40A2A6" w14:textId="0331BB97" w:rsidR="00E07DBB" w:rsidRPr="00374FD6" w:rsidRDefault="00E07DBB" w:rsidP="000C69E5">
      <w:pPr>
        <w:pStyle w:val="Heading3"/>
      </w:pPr>
      <w:bookmarkStart w:id="24" w:name="_Toc202253186"/>
      <w:bookmarkStart w:id="25" w:name="_Toc202255473"/>
      <w:bookmarkStart w:id="26" w:name="_Toc204158234"/>
      <w:bookmarkStart w:id="27" w:name="_Toc204158460"/>
      <w:bookmarkStart w:id="28" w:name="_Toc204158629"/>
      <w:r>
        <w:t>Domestic day trip</w:t>
      </w:r>
      <w:r w:rsidR="0075354A">
        <w:t xml:space="preserve">s </w:t>
      </w:r>
      <w:r w:rsidR="00242E09">
        <w:t>of</w:t>
      </w:r>
      <w:r>
        <w:t xml:space="preserve"> travellers with accessible needs were 2</w:t>
      </w:r>
      <w:r w:rsidR="0075354A">
        <w:t>3</w:t>
      </w:r>
      <w:r>
        <w:t>%</w:t>
      </w:r>
      <w:r w:rsidR="0075354A">
        <w:t xml:space="preserve"> </w:t>
      </w:r>
      <w:r>
        <w:t>of total trips in 2024</w:t>
      </w:r>
      <w:bookmarkEnd w:id="24"/>
      <w:bookmarkEnd w:id="25"/>
      <w:bookmarkEnd w:id="26"/>
      <w:bookmarkEnd w:id="27"/>
      <w:bookmarkEnd w:id="28"/>
    </w:p>
    <w:p w14:paraId="19578E43" w14:textId="4D236943" w:rsidR="00C26254" w:rsidRPr="00C26254" w:rsidRDefault="00C26254" w:rsidP="00C26254">
      <w:r w:rsidRPr="00C26254">
        <w:t xml:space="preserve">Australians took over 200-million-day trips in 2024 - 23% of which were by travellers with accessible needs. Day trip travellers with accessible needs are slightly more likely than any other traveller type (domestic overnight or international) to travel for a holiday, and least likely to travel for business. </w:t>
      </w:r>
    </w:p>
    <w:p w14:paraId="4EF95ADC" w14:textId="77777777" w:rsidR="00C26254" w:rsidRPr="00C26254" w:rsidRDefault="00C26254" w:rsidP="00C26254">
      <w:r w:rsidRPr="00C26254">
        <w:t xml:space="preserve">Day trips had slightly lower average spend than overnight trips. However, day trips by travellers with accessible needs still involved $6.6 billion of spend in 2024. </w:t>
      </w:r>
    </w:p>
    <w:p w14:paraId="4F1F89F1" w14:textId="77777777" w:rsidR="00C26254" w:rsidRPr="00C26254" w:rsidRDefault="00C26254" w:rsidP="00C26254">
      <w:r w:rsidRPr="00C26254">
        <w:t xml:space="preserve">Over half of day trips taken by travellers with accessible needs were taken in regional Australia in 2024. </w:t>
      </w:r>
    </w:p>
    <w:p w14:paraId="37A40FF6" w14:textId="1EB2632C" w:rsidR="00E07DBB" w:rsidRDefault="00E07DBB" w:rsidP="00E07DBB">
      <w:pPr>
        <w:pStyle w:val="Heading4"/>
      </w:pPr>
      <w:r w:rsidRPr="007C1BD9">
        <w:t xml:space="preserve">Domestic </w:t>
      </w:r>
      <w:r w:rsidR="00CA7B77">
        <w:t>day trip</w:t>
      </w:r>
      <w:r w:rsidRPr="007C1BD9">
        <w:t xml:space="preserve"> </w:t>
      </w:r>
      <w:r w:rsidRPr="009B03B6">
        <w:t>travellers with accessible needs trips facts and figures (2024)</w:t>
      </w:r>
    </w:p>
    <w:p w14:paraId="06483996" w14:textId="176E14F2" w:rsidR="00CA7B77" w:rsidRDefault="00E47A18" w:rsidP="00E47A18">
      <w:pPr>
        <w:pStyle w:val="NumberedList"/>
        <w:numPr>
          <w:ilvl w:val="0"/>
          <w:numId w:val="18"/>
        </w:numPr>
      </w:pPr>
      <w:r w:rsidRPr="00CA7B77">
        <w:t>46.3 million domestic day trip in 2024 (23% of total domestic day trips)</w:t>
      </w:r>
    </w:p>
    <w:p w14:paraId="196EB75C" w14:textId="57BB51BF" w:rsidR="00E47A18" w:rsidRDefault="00E47A18" w:rsidP="00E47A18">
      <w:pPr>
        <w:pStyle w:val="NumberedList"/>
        <w:numPr>
          <w:ilvl w:val="0"/>
          <w:numId w:val="18"/>
        </w:numPr>
      </w:pPr>
      <w:r w:rsidRPr="00CA7B77">
        <w:t>Domestic day trip spends reached $6.6 billion</w:t>
      </w:r>
      <w:r>
        <w:t xml:space="preserve"> </w:t>
      </w:r>
      <w:r w:rsidRPr="00CA7B77">
        <w:t>(21% of total domestic day trip spend)</w:t>
      </w:r>
    </w:p>
    <w:p w14:paraId="74E8F6F4" w14:textId="77777777" w:rsidR="00E47A18" w:rsidRDefault="00E47A18" w:rsidP="00E47A18">
      <w:pPr>
        <w:pStyle w:val="NumberedList"/>
        <w:numPr>
          <w:ilvl w:val="0"/>
          <w:numId w:val="18"/>
        </w:numPr>
      </w:pPr>
      <w:r w:rsidRPr="00CA7B77">
        <w:t>The main reasons for day trips were holiday (46%), VFR (29%) and business (7%).</w:t>
      </w:r>
    </w:p>
    <w:p w14:paraId="744D2F75" w14:textId="77777777" w:rsidR="00E47A18" w:rsidRDefault="00E47A18" w:rsidP="00E47A18">
      <w:pPr>
        <w:pStyle w:val="NumberedList"/>
        <w:numPr>
          <w:ilvl w:val="0"/>
          <w:numId w:val="18"/>
        </w:numPr>
      </w:pPr>
      <w:r w:rsidRPr="00CA7B77">
        <w:t>55% trips were to regional Australia in 2024</w:t>
      </w:r>
    </w:p>
    <w:p w14:paraId="0F16F46A" w14:textId="2D391686" w:rsidR="00E47A18" w:rsidRDefault="00E47A18" w:rsidP="00E47A18">
      <w:pPr>
        <w:pStyle w:val="NumberedList"/>
        <w:numPr>
          <w:ilvl w:val="0"/>
          <w:numId w:val="18"/>
        </w:numPr>
      </w:pPr>
      <w:r w:rsidRPr="00CA7B77">
        <w:t xml:space="preserve">Average spend per trip was $143 in 2024 ($15 </w:t>
      </w:r>
      <w:r w:rsidRPr="00CA7B77">
        <w:rPr>
          <w:u w:val="single"/>
        </w:rPr>
        <w:t>less</w:t>
      </w:r>
      <w:r w:rsidRPr="00CA7B77">
        <w:t xml:space="preserve"> than other domestic day trip travellers) </w:t>
      </w:r>
    </w:p>
    <w:p w14:paraId="47F28AD5" w14:textId="1827E13E" w:rsidR="00426E37" w:rsidRPr="004678C0" w:rsidRDefault="00426E37" w:rsidP="008922D8">
      <w:pPr>
        <w:pStyle w:val="Caption"/>
        <w:rPr>
          <w:b/>
          <w:bCs/>
        </w:rPr>
      </w:pPr>
    </w:p>
    <w:p w14:paraId="44467AE0" w14:textId="77777777" w:rsidR="00A3570F" w:rsidRDefault="00A3570F">
      <w:pPr>
        <w:spacing w:before="0" w:after="160" w:line="259" w:lineRule="auto"/>
        <w:rPr>
          <w:bCs/>
          <w:color w:val="300050" w:themeColor="text2"/>
          <w:sz w:val="28"/>
          <w:szCs w:val="32"/>
        </w:rPr>
      </w:pPr>
      <w:bookmarkStart w:id="29" w:name="_Toc202255475"/>
      <w:r>
        <w:br w:type="page"/>
      </w:r>
    </w:p>
    <w:p w14:paraId="44F93FE2" w14:textId="49F4FAA6" w:rsidR="009C5F57" w:rsidRDefault="009C5F57" w:rsidP="009C5F57">
      <w:pPr>
        <w:pStyle w:val="Heading2"/>
      </w:pPr>
      <w:bookmarkStart w:id="30" w:name="_Toc204158630"/>
      <w:bookmarkStart w:id="31" w:name="_Toc204158235"/>
      <w:bookmarkStart w:id="32" w:name="_Toc204158461"/>
      <w:r>
        <w:lastRenderedPageBreak/>
        <w:t>Understanding the accessible traveller</w:t>
      </w:r>
      <w:bookmarkEnd w:id="30"/>
    </w:p>
    <w:p w14:paraId="73E678D9" w14:textId="62D29DB6" w:rsidR="004678C0" w:rsidRPr="00A26D63" w:rsidRDefault="00313B75" w:rsidP="00A26D63">
      <w:pPr>
        <w:pStyle w:val="Heading3"/>
      </w:pPr>
      <w:bookmarkStart w:id="33" w:name="_Toc204158631"/>
      <w:r w:rsidRPr="00A26D63">
        <w:t xml:space="preserve">Main </w:t>
      </w:r>
      <w:r w:rsidR="00115C21">
        <w:t>purpose</w:t>
      </w:r>
      <w:r w:rsidRPr="00A26D63">
        <w:t xml:space="preserve"> </w:t>
      </w:r>
      <w:r w:rsidR="00115C21">
        <w:t>of</w:t>
      </w:r>
      <w:r w:rsidRPr="00A26D63">
        <w:t xml:space="preserve"> travel</w:t>
      </w:r>
      <w:bookmarkEnd w:id="29"/>
      <w:bookmarkEnd w:id="31"/>
      <w:bookmarkEnd w:id="32"/>
      <w:bookmarkEnd w:id="33"/>
    </w:p>
    <w:p w14:paraId="2EFD2874" w14:textId="02831D0A" w:rsidR="00F440F8" w:rsidRPr="00F440F8" w:rsidRDefault="00F440F8" w:rsidP="00F440F8">
      <w:r w:rsidRPr="00F440F8">
        <w:t xml:space="preserve">Holiday was the most common reason for travel among all traveller types for both travellers with accessible needs and other traveller types. Visiting friends and relatives was the next most popular reason for all traveller types. This reason accounted for a substantially larger proportion of travellers with accessible needs than of other travellers. </w:t>
      </w:r>
    </w:p>
    <w:p w14:paraId="4105AC4D" w14:textId="77777777" w:rsidR="00F440F8" w:rsidRPr="00F440F8" w:rsidRDefault="00F440F8" w:rsidP="00F440F8">
      <w:r w:rsidRPr="00F440F8">
        <w:t>Conversely, the proportion of people with accessibility needs travelling for business, employment or education was smaller than that of other travellers.</w:t>
      </w:r>
    </w:p>
    <w:p w14:paraId="3BC82969" w14:textId="7B259C08" w:rsidR="00F70476" w:rsidRDefault="00EC5FFD" w:rsidP="00F70476">
      <w:pPr>
        <w:pStyle w:val="Caption"/>
      </w:pPr>
      <w:r>
        <w:t xml:space="preserve">Figure </w:t>
      </w:r>
      <w:r>
        <w:fldChar w:fldCharType="begin"/>
      </w:r>
      <w:r>
        <w:instrText xml:space="preserve"> SEQ Figure \* ARABIC </w:instrText>
      </w:r>
      <w:r>
        <w:fldChar w:fldCharType="separate"/>
      </w:r>
      <w:r w:rsidR="00B95227">
        <w:rPr>
          <w:noProof/>
        </w:rPr>
        <w:t>2</w:t>
      </w:r>
      <w:r>
        <w:fldChar w:fldCharType="end"/>
      </w:r>
      <w:r w:rsidR="006B3861">
        <w:t xml:space="preserve">: </w:t>
      </w:r>
      <w:r w:rsidR="006B3861" w:rsidRPr="006B3861">
        <w:t>Main reason for travel (% of trips)</w:t>
      </w:r>
    </w:p>
    <w:p w14:paraId="20276BEA" w14:textId="66D9189C" w:rsidR="00F70476" w:rsidRPr="00F70476" w:rsidRDefault="00F70476" w:rsidP="00F70476">
      <w:r>
        <w:br/>
      </w:r>
      <w:r>
        <w:br/>
      </w:r>
      <w:r>
        <w:br/>
      </w:r>
      <w:r>
        <w:br/>
      </w:r>
      <w:r>
        <w:br/>
      </w:r>
      <w:r>
        <w:br/>
      </w:r>
      <w:r>
        <w:br/>
      </w:r>
      <w:r>
        <w:br/>
      </w:r>
      <w:r>
        <w:br/>
      </w:r>
      <w:r>
        <w:br/>
      </w:r>
      <w:r>
        <w:br/>
      </w:r>
      <w:r>
        <w:br/>
      </w:r>
      <w:r>
        <w:br/>
      </w:r>
      <w:r>
        <w:br/>
      </w:r>
      <w:r>
        <w:br/>
      </w:r>
      <w:r>
        <w:br/>
      </w:r>
      <w:r>
        <w:br/>
      </w:r>
      <w:r>
        <w:br/>
      </w:r>
      <w:r>
        <w:br/>
      </w:r>
      <w:r>
        <w:br/>
      </w:r>
      <w:r>
        <w:rPr>
          <w:noProof/>
        </w:rPr>
        <w:drawing>
          <wp:inline distT="0" distB="0" distL="0" distR="0" wp14:anchorId="0F8FF9D8" wp14:editId="0F9E1AB8">
            <wp:extent cx="4562475" cy="4029075"/>
            <wp:effectExtent l="0" t="0" r="0" b="0"/>
            <wp:docPr id="1935829116" name="Picture 1" descr="Clustered column graph outlining the main reason for travel of international visitors by accessible and non accessible. Holiday is the highest proportion of all trips as 43% accessible travellers and 42% for other travellers. &#10;Clustered column graph outlining the main reason for travel of domestic overnight visitors by accessible and non accessible. Holiday is the highest proportion of all trips as 43% accessible travellers and 42% for other travellers. &#10;Clustered column graph outlining the main reason for travel of domestic day trips by accessible and non accessible. Holiday is the highest proportion of all trips as 46% accessible travellers and 50% for other travelle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29116" name="Picture 1" descr="Clustered column graph outlining the main reason for travel of international visitors by accessible and non accessible. Holiday is the highest proportion of all trips as 43% accessible travellers and 42% for other travellers. &#10;Clustered column graph outlining the main reason for travel of domestic overnight visitors by accessible and non accessible. Holiday is the highest proportion of all trips as 43% accessible travellers and 42% for other travellers. &#10;Clustered column graph outlining the main reason for travel of domestic day trips by accessible and non accessible. Holiday is the highest proportion of all trips as 46% accessible travellers and 50% for other travellers. &#10;"/>
                    <pic:cNvPicPr/>
                  </pic:nvPicPr>
                  <pic:blipFill>
                    <a:blip r:embed="rId19"/>
                    <a:stretch>
                      <a:fillRect/>
                    </a:stretch>
                  </pic:blipFill>
                  <pic:spPr>
                    <a:xfrm>
                      <a:off x="0" y="0"/>
                      <a:ext cx="4562475" cy="4029075"/>
                    </a:xfrm>
                    <a:prstGeom prst="rect">
                      <a:avLst/>
                    </a:prstGeom>
                  </pic:spPr>
                </pic:pic>
              </a:graphicData>
            </a:graphic>
          </wp:inline>
        </w:drawing>
      </w:r>
    </w:p>
    <w:p w14:paraId="2F0F5C3F" w14:textId="7F062C2C" w:rsidR="006B3861" w:rsidRDefault="00F576F2">
      <w:pPr>
        <w:spacing w:before="0" w:after="160" w:line="259" w:lineRule="auto"/>
        <w:rPr>
          <w:lang w:val="pt-PT"/>
        </w:rPr>
      </w:pPr>
      <w:r w:rsidRPr="00F576F2">
        <w:t>1. NP = Not publishable (insufficient data)</w:t>
      </w:r>
    </w:p>
    <w:p w14:paraId="561C633F" w14:textId="77777777" w:rsidR="00A3570F" w:rsidRDefault="00A3570F">
      <w:pPr>
        <w:spacing w:before="0" w:after="160" w:line="259" w:lineRule="auto"/>
        <w:rPr>
          <w:bCs/>
          <w:color w:val="300050" w:themeColor="text2"/>
          <w:sz w:val="28"/>
          <w:szCs w:val="32"/>
        </w:rPr>
      </w:pPr>
      <w:bookmarkStart w:id="34" w:name="_Toc202255476"/>
      <w:r>
        <w:br w:type="page"/>
      </w:r>
    </w:p>
    <w:p w14:paraId="0F9D12AF" w14:textId="4C4BFB61" w:rsidR="006B3861" w:rsidRDefault="00AC2AD4" w:rsidP="00A26D63">
      <w:pPr>
        <w:pStyle w:val="Heading3"/>
      </w:pPr>
      <w:bookmarkStart w:id="35" w:name="_Toc204158236"/>
      <w:bookmarkStart w:id="36" w:name="_Toc204158462"/>
      <w:bookmarkStart w:id="37" w:name="_Toc204158632"/>
      <w:r>
        <w:lastRenderedPageBreak/>
        <w:t>Trip origins and destinations</w:t>
      </w:r>
      <w:bookmarkEnd w:id="34"/>
      <w:bookmarkEnd w:id="35"/>
      <w:bookmarkEnd w:id="36"/>
      <w:bookmarkEnd w:id="37"/>
    </w:p>
    <w:p w14:paraId="0AB2CF14" w14:textId="7A3097D6" w:rsidR="006B3861" w:rsidRPr="006B3861" w:rsidRDefault="006B3861" w:rsidP="006B3861">
      <w:pPr>
        <w:spacing w:before="0" w:after="160" w:line="259" w:lineRule="auto"/>
      </w:pPr>
      <w:r w:rsidRPr="006B3861">
        <w:t>Across the 3 traveller types (domestic overnight, domestic day trip and international), travellers with accessible needs were more likely to spend time in regional areas than other travellers.</w:t>
      </w:r>
      <w:r>
        <w:t xml:space="preserve"> </w:t>
      </w:r>
      <w:r w:rsidRPr="006B3861">
        <w:t xml:space="preserve">Accessible travellers spent 58% of their nights/day trips in regional areas and 42% in capital cities (compared with 44% regional and 56% capital cities for other travellers). </w:t>
      </w:r>
    </w:p>
    <w:p w14:paraId="27DACBC5" w14:textId="7BD43B02" w:rsidR="000B33B5" w:rsidRDefault="006B3861">
      <w:pPr>
        <w:spacing w:before="0" w:after="160" w:line="259" w:lineRule="auto"/>
      </w:pPr>
      <w:r w:rsidRPr="006B3861">
        <w:t>International visitors spent a larger proportion of their time in capital cities than domestic travellers. However, those with accessible needs spent a higher proportion of their nights in regional areas than did other international travellers (28% vs 19%).</w:t>
      </w:r>
    </w:p>
    <w:p w14:paraId="1202A7D6" w14:textId="77777777" w:rsidR="001846DC" w:rsidRDefault="001846DC" w:rsidP="001846DC">
      <w:pPr>
        <w:pStyle w:val="Caption"/>
      </w:pPr>
      <w:r w:rsidRPr="00BB7276">
        <w:t xml:space="preserve">Figure </w:t>
      </w:r>
      <w:r w:rsidRPr="00BB7276">
        <w:fldChar w:fldCharType="begin"/>
      </w:r>
      <w:r w:rsidRPr="00BB7276">
        <w:instrText xml:space="preserve"> SEQ Figure \* ARABIC </w:instrText>
      </w:r>
      <w:r w:rsidRPr="00BB7276">
        <w:fldChar w:fldCharType="separate"/>
      </w:r>
      <w:r>
        <w:rPr>
          <w:noProof/>
        </w:rPr>
        <w:t>3</w:t>
      </w:r>
      <w:r w:rsidRPr="00BB7276">
        <w:fldChar w:fldCharType="end"/>
      </w:r>
      <w:r w:rsidRPr="00BB7276">
        <w:t>: Capital cities vs regional Australia trips (% of nights or day trips)</w:t>
      </w:r>
    </w:p>
    <w:p w14:paraId="1A1ED3A6" w14:textId="192BE048" w:rsidR="007C50E3" w:rsidRPr="007C50E3" w:rsidRDefault="001846DC" w:rsidP="00F51520">
      <w:pPr>
        <w:pStyle w:val="Caption"/>
        <w:rPr>
          <w:lang w:val="pt-PT"/>
        </w:rPr>
      </w:pPr>
      <w:r>
        <w:rPr>
          <w:noProof/>
        </w:rPr>
        <w:drawing>
          <wp:inline distT="0" distB="0" distL="0" distR="0" wp14:anchorId="50261B61" wp14:editId="3D78AA7F">
            <wp:extent cx="6329680" cy="4621530"/>
            <wp:effectExtent l="0" t="0" r="0" b="7620"/>
            <wp:docPr id="1613127606" name="Picture 1" descr="A stacked bar graph outlining the differences in days/nights spent in regional Australia vs Capital cities. &#10;Accessible travellers spe&#10;nd 58% of days/nights in regional Australia compared with 44% other travell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127606" name="Picture 1" descr="A stacked bar graph outlining the differences in days/nights spent in regional Australia vs Capital cities. &#10;Accessible travellers spe&#10;nd 58% of days/nights in regional Australia compared with 44% other travellers "/>
                    <pic:cNvPicPr/>
                  </pic:nvPicPr>
                  <pic:blipFill>
                    <a:blip r:embed="rId20"/>
                    <a:stretch>
                      <a:fillRect/>
                    </a:stretch>
                  </pic:blipFill>
                  <pic:spPr>
                    <a:xfrm>
                      <a:off x="0" y="0"/>
                      <a:ext cx="6329680" cy="4621530"/>
                    </a:xfrm>
                    <a:prstGeom prst="rect">
                      <a:avLst/>
                    </a:prstGeom>
                  </pic:spPr>
                </pic:pic>
              </a:graphicData>
            </a:graphic>
          </wp:inline>
        </w:drawing>
      </w:r>
    </w:p>
    <w:p w14:paraId="30E7D0B8" w14:textId="77777777" w:rsidR="00A107CD" w:rsidRPr="00A107CD" w:rsidRDefault="00A107CD" w:rsidP="00A107CD">
      <w:pPr>
        <w:pStyle w:val="Caption"/>
      </w:pPr>
      <w:r w:rsidRPr="00A107CD">
        <w:t>1. Number of trips has been used here for domestic day trip travellers because they do not stay overnight.</w:t>
      </w:r>
    </w:p>
    <w:p w14:paraId="66F404D6" w14:textId="744EAB5A" w:rsidR="00A107CD" w:rsidRPr="00A107CD" w:rsidRDefault="00A107CD" w:rsidP="00A107CD">
      <w:pPr>
        <w:pStyle w:val="Caption"/>
        <w:rPr>
          <w:i w:val="0"/>
          <w:iCs w:val="0"/>
          <w:color w:val="000000" w:themeColor="text1"/>
          <w:sz w:val="20"/>
          <w:szCs w:val="20"/>
        </w:rPr>
      </w:pPr>
      <w:r w:rsidRPr="00A107CD">
        <w:rPr>
          <w:i w:val="0"/>
          <w:iCs w:val="0"/>
          <w:color w:val="000000" w:themeColor="text1"/>
          <w:sz w:val="20"/>
          <w:szCs w:val="20"/>
        </w:rPr>
        <w:t>The share by state of domestic trips by travellers with accessible needs reflects state populations. For example, NSW and Victoria are Australia’s 2 most populous states and were the 2 states with the largest share of trips by home state.</w:t>
      </w:r>
    </w:p>
    <w:p w14:paraId="3A6A67D3" w14:textId="77777777" w:rsidR="00A107CD" w:rsidRPr="00A107CD" w:rsidRDefault="00A107CD" w:rsidP="00A107CD">
      <w:pPr>
        <w:pStyle w:val="Caption"/>
        <w:rPr>
          <w:i w:val="0"/>
          <w:iCs w:val="0"/>
          <w:color w:val="000000" w:themeColor="text1"/>
          <w:sz w:val="20"/>
          <w:szCs w:val="20"/>
        </w:rPr>
      </w:pPr>
      <w:r w:rsidRPr="00A107CD">
        <w:rPr>
          <w:i w:val="0"/>
          <w:iCs w:val="0"/>
          <w:color w:val="000000" w:themeColor="text1"/>
          <w:sz w:val="20"/>
          <w:szCs w:val="20"/>
        </w:rPr>
        <w:t xml:space="preserve">Victoria and Queensland represent a slightly higher proportion of trips of travellers with accessible needs than their proportion of Australia’s population </w:t>
      </w:r>
    </w:p>
    <w:p w14:paraId="1F1DDA94" w14:textId="475B15A7" w:rsidR="00A107CD" w:rsidRPr="00A107CD" w:rsidRDefault="00E46A8E" w:rsidP="00A107CD">
      <w:pPr>
        <w:pStyle w:val="BulletList"/>
      </w:pPr>
      <w:r>
        <w:t>Victoria –</w:t>
      </w:r>
      <w:r w:rsidR="00A107CD" w:rsidRPr="00A107CD">
        <w:t xml:space="preserve"> 28% of Australia’s population; 26% of trips</w:t>
      </w:r>
    </w:p>
    <w:p w14:paraId="2BDDD4EF" w14:textId="28ECBEDA" w:rsidR="00A107CD" w:rsidRDefault="00A107CD" w:rsidP="00B56D29">
      <w:pPr>
        <w:pStyle w:val="BulletList"/>
      </w:pPr>
      <w:r w:rsidRPr="00A107CD">
        <w:t>Q</w:t>
      </w:r>
      <w:r w:rsidR="00E46A8E">
        <w:t>ueensland –</w:t>
      </w:r>
      <w:r w:rsidRPr="00A107CD">
        <w:t xml:space="preserve"> 21% of Australia’s population; 23% of trips</w:t>
      </w:r>
    </w:p>
    <w:p w14:paraId="2131EB18" w14:textId="77777777" w:rsidR="00A107CD" w:rsidRDefault="00A107CD" w:rsidP="00E46A8E">
      <w:pPr>
        <w:pStyle w:val="BulletList"/>
        <w:numPr>
          <w:ilvl w:val="0"/>
          <w:numId w:val="0"/>
        </w:numPr>
      </w:pPr>
    </w:p>
    <w:p w14:paraId="605CDB8F" w14:textId="77C21921" w:rsidR="00A107CD" w:rsidRPr="00A107CD" w:rsidRDefault="00E46A8E" w:rsidP="00414235">
      <w:pPr>
        <w:pStyle w:val="Caption"/>
        <w:rPr>
          <w:color w:val="000000" w:themeColor="text1"/>
          <w:sz w:val="20"/>
          <w:szCs w:val="20"/>
        </w:rPr>
      </w:pPr>
      <w:r>
        <w:t xml:space="preserve">Figure </w:t>
      </w:r>
      <w:r>
        <w:fldChar w:fldCharType="begin"/>
      </w:r>
      <w:r>
        <w:instrText xml:space="preserve"> SEQ Figure \* ARABIC </w:instrText>
      </w:r>
      <w:r>
        <w:fldChar w:fldCharType="separate"/>
      </w:r>
      <w:r w:rsidR="00B95227">
        <w:rPr>
          <w:noProof/>
        </w:rPr>
        <w:t>4</w:t>
      </w:r>
      <w:r>
        <w:fldChar w:fldCharType="end"/>
      </w:r>
      <w:r w:rsidR="00414235">
        <w:t xml:space="preserve">: </w:t>
      </w:r>
      <w:r w:rsidR="00414235" w:rsidRPr="00414235">
        <w:t>Trip origins: Number of domestic trips by home state of traveller</w:t>
      </w:r>
      <w:r w:rsidR="00414235">
        <w:t xml:space="preserve"> </w:t>
      </w:r>
      <w:r w:rsidR="00414235" w:rsidRPr="00414235">
        <w:t>(number and % of trips – travellers with accessible needs)</w:t>
      </w:r>
    </w:p>
    <w:p w14:paraId="0F860237" w14:textId="7BE40AF4" w:rsidR="00BF1146" w:rsidRDefault="00051C7E" w:rsidP="00BB7276">
      <w:pPr>
        <w:pStyle w:val="Caption"/>
        <w:rPr>
          <w:lang w:val="pt-PT"/>
        </w:rPr>
      </w:pPr>
      <w:r>
        <w:rPr>
          <w:noProof/>
        </w:rPr>
        <w:lastRenderedPageBreak/>
        <w:drawing>
          <wp:inline distT="0" distB="0" distL="0" distR="0" wp14:anchorId="7685322A" wp14:editId="4EBB0D07">
            <wp:extent cx="6329680" cy="5261610"/>
            <wp:effectExtent l="0" t="0" r="0" b="0"/>
            <wp:docPr id="387299084" name="Picture 1" descr="A map of Australia highlighting the state of origin of trips taken as a number, and as a percentage. &#10;NSW has the highest number of trips taken from this state at 27.7%, followed by Victoria at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99084" name="Picture 1" descr="A map of Australia highlighting the state of origin of trips taken as a number, and as a percentage. &#10;NSW has the highest number of trips taken from this state at 27.7%, followed by Victoria at 27.6%."/>
                    <pic:cNvPicPr/>
                  </pic:nvPicPr>
                  <pic:blipFill>
                    <a:blip r:embed="rId21"/>
                    <a:stretch>
                      <a:fillRect/>
                    </a:stretch>
                  </pic:blipFill>
                  <pic:spPr>
                    <a:xfrm>
                      <a:off x="0" y="0"/>
                      <a:ext cx="6329680" cy="5261610"/>
                    </a:xfrm>
                    <a:prstGeom prst="rect">
                      <a:avLst/>
                    </a:prstGeom>
                  </pic:spPr>
                </pic:pic>
              </a:graphicData>
            </a:graphic>
          </wp:inline>
        </w:drawing>
      </w:r>
      <w:r w:rsidR="00BF1146">
        <w:rPr>
          <w:lang w:val="pt-PT"/>
        </w:rPr>
        <w:br w:type="page"/>
      </w:r>
    </w:p>
    <w:p w14:paraId="78C43EAA" w14:textId="4BF69CA1" w:rsidR="000D443A" w:rsidRPr="000D443A" w:rsidRDefault="000D443A" w:rsidP="000D443A">
      <w:r w:rsidRPr="000D443A">
        <w:lastRenderedPageBreak/>
        <w:t>Most international travellers with accessibility needs came from NZ, the USA or the UK</w:t>
      </w:r>
      <w:r w:rsidR="000F520D">
        <w:t xml:space="preserve">. </w:t>
      </w:r>
      <w:proofErr w:type="gramStart"/>
      <w:r w:rsidRPr="000D443A">
        <w:t>The majority of</w:t>
      </w:r>
      <w:proofErr w:type="gramEnd"/>
      <w:r w:rsidRPr="000D443A">
        <w:t xml:space="preserve"> international travellers with accessible needs came from just 3 countries:</w:t>
      </w:r>
    </w:p>
    <w:p w14:paraId="1BA4F2A0" w14:textId="77777777" w:rsidR="000D443A" w:rsidRPr="000D443A" w:rsidRDefault="000D443A" w:rsidP="000D443A">
      <w:pPr>
        <w:pStyle w:val="BulletList"/>
      </w:pPr>
      <w:r w:rsidRPr="000D443A">
        <w:t>New Zealand (25%)</w:t>
      </w:r>
    </w:p>
    <w:p w14:paraId="21FCA923" w14:textId="77777777" w:rsidR="000D443A" w:rsidRPr="000D443A" w:rsidRDefault="000D443A" w:rsidP="000D443A">
      <w:pPr>
        <w:pStyle w:val="BulletList"/>
      </w:pPr>
      <w:r w:rsidRPr="000D443A">
        <w:t>USA (19%)</w:t>
      </w:r>
    </w:p>
    <w:p w14:paraId="74F1625A" w14:textId="77777777" w:rsidR="000D443A" w:rsidRPr="000D443A" w:rsidRDefault="000D443A" w:rsidP="000D443A">
      <w:pPr>
        <w:pStyle w:val="BulletList"/>
      </w:pPr>
      <w:r w:rsidRPr="000D443A">
        <w:t>UK (15%)</w:t>
      </w:r>
    </w:p>
    <w:p w14:paraId="6B571133" w14:textId="77777777" w:rsidR="000D443A" w:rsidRPr="000D443A" w:rsidRDefault="000D443A" w:rsidP="000D443A">
      <w:r w:rsidRPr="000D443A">
        <w:t>These 3 countries accounted for 202,000 international trips by travellers with accessible needs in 2024 (59% of total).</w:t>
      </w:r>
    </w:p>
    <w:p w14:paraId="063BD122" w14:textId="77777777" w:rsidR="000D443A" w:rsidRPr="000D443A" w:rsidRDefault="000D443A" w:rsidP="000D443A">
      <w:r w:rsidRPr="000D443A">
        <w:t>In general, Asian countries tended to constitute a lower proportion of travellers with accessible needs than their overall share of total international visitors to Australia. For example, Chinese travellers represented 11% of international visitors overall in 2024, but only 2% of international visitors with accessible needs.</w:t>
      </w:r>
    </w:p>
    <w:p w14:paraId="0332CAAA" w14:textId="47B71346" w:rsidR="00AF6A0C" w:rsidRDefault="000D443A" w:rsidP="000D443A">
      <w:pPr>
        <w:pStyle w:val="Caption"/>
      </w:pPr>
      <w:r>
        <w:t xml:space="preserve">Figure </w:t>
      </w:r>
      <w:r>
        <w:fldChar w:fldCharType="begin"/>
      </w:r>
      <w:r>
        <w:instrText xml:space="preserve"> SEQ Figure \* ARABIC </w:instrText>
      </w:r>
      <w:r>
        <w:fldChar w:fldCharType="separate"/>
      </w:r>
      <w:r w:rsidR="00B95227">
        <w:rPr>
          <w:noProof/>
        </w:rPr>
        <w:t>5</w:t>
      </w:r>
      <w:r>
        <w:fldChar w:fldCharType="end"/>
      </w:r>
      <w:r>
        <w:t xml:space="preserve">: </w:t>
      </w:r>
      <w:r w:rsidR="00AF6A0C" w:rsidRPr="00AF6A0C">
        <w:t>Home countries of international travellers with accessible needs (number and % of travellers)</w:t>
      </w:r>
    </w:p>
    <w:p w14:paraId="5AC657E2" w14:textId="6B679CCA" w:rsidR="00AF6A0C" w:rsidRDefault="000B249E" w:rsidP="000D443A">
      <w:pPr>
        <w:pStyle w:val="Caption"/>
        <w:rPr>
          <w:lang w:val="pt-PT"/>
        </w:rPr>
      </w:pPr>
      <w:r>
        <w:rPr>
          <w:noProof/>
        </w:rPr>
        <w:drawing>
          <wp:inline distT="0" distB="0" distL="0" distR="0" wp14:anchorId="00F6F21D" wp14:editId="64D2999D">
            <wp:extent cx="6329680" cy="4040505"/>
            <wp:effectExtent l="0" t="0" r="0" b="0"/>
            <wp:docPr id="1514137746" name="Picture 1" descr="Pie chart showing the home countries of travellers to Australia. NZ has the highest number of international visitors at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37746" name="Picture 1" descr="Pie chart showing the home countries of travellers to Australia. NZ has the highest number of international visitors at 25%. "/>
                    <pic:cNvPicPr/>
                  </pic:nvPicPr>
                  <pic:blipFill>
                    <a:blip r:embed="rId22"/>
                    <a:stretch>
                      <a:fillRect/>
                    </a:stretch>
                  </pic:blipFill>
                  <pic:spPr>
                    <a:xfrm>
                      <a:off x="0" y="0"/>
                      <a:ext cx="6329680" cy="4040505"/>
                    </a:xfrm>
                    <a:prstGeom prst="rect">
                      <a:avLst/>
                    </a:prstGeom>
                  </pic:spPr>
                </pic:pic>
              </a:graphicData>
            </a:graphic>
          </wp:inline>
        </w:drawing>
      </w:r>
    </w:p>
    <w:p w14:paraId="0A1A38C4" w14:textId="77777777" w:rsidR="00AF6A0C" w:rsidRDefault="00AF6A0C" w:rsidP="000D443A">
      <w:pPr>
        <w:pStyle w:val="Caption"/>
        <w:rPr>
          <w:lang w:val="pt-PT"/>
        </w:rPr>
      </w:pPr>
    </w:p>
    <w:p w14:paraId="01ED97D9" w14:textId="411AE8E4" w:rsidR="002E357B" w:rsidRPr="002E357B" w:rsidRDefault="002E357B" w:rsidP="002E357B">
      <w:r w:rsidRPr="002E357B">
        <w:t xml:space="preserve">New South Wales, Queensland and Victoria were the 3 most popular destination states in terms of total trip nights (both for travellers with accessible needs and other travellers). Travellers with accessible needs spent 31% of their total nights in New South Wales, 24% in Queensland and 21% in Victoria. </w:t>
      </w:r>
    </w:p>
    <w:p w14:paraId="12E72285" w14:textId="77777777" w:rsidR="002E357B" w:rsidRPr="002E357B" w:rsidRDefault="002E357B" w:rsidP="002E357B">
      <w:r w:rsidRPr="002E357B">
        <w:t>While Victoria was the home state of 28% of travellers with accessible needs, its share of nights stayed was only 21%. By contrast, New South Wales and Queensland had a larger share of nights stayed than their share of travellers by home state (31% vs 28% for New South Wales and 24% vs 23% for Queensland).</w:t>
      </w:r>
    </w:p>
    <w:p w14:paraId="4F8607E9" w14:textId="2500EC52" w:rsidR="00236D79" w:rsidRPr="00236D79" w:rsidRDefault="002E357B" w:rsidP="00236D79">
      <w:pPr>
        <w:pStyle w:val="Caption"/>
        <w:rPr>
          <w:lang w:val="pt-PT"/>
        </w:rPr>
      </w:pPr>
      <w:r>
        <w:lastRenderedPageBreak/>
        <w:t xml:space="preserve">Figure </w:t>
      </w:r>
      <w:r>
        <w:fldChar w:fldCharType="begin"/>
      </w:r>
      <w:r>
        <w:instrText xml:space="preserve"> SEQ Figure \* ARABIC </w:instrText>
      </w:r>
      <w:r>
        <w:fldChar w:fldCharType="separate"/>
      </w:r>
      <w:r w:rsidR="00B95227">
        <w:rPr>
          <w:noProof/>
        </w:rPr>
        <w:t>6</w:t>
      </w:r>
      <w:r>
        <w:fldChar w:fldCharType="end"/>
      </w:r>
      <w:r>
        <w:t xml:space="preserve">: </w:t>
      </w:r>
      <w:r w:rsidR="00B807B6" w:rsidRPr="00B807B6">
        <w:t>Trip destinations: Stopover nights by state and territory</w:t>
      </w:r>
      <w:r w:rsidR="00B807B6">
        <w:t xml:space="preserve"> </w:t>
      </w:r>
      <w:r w:rsidR="00B807B6" w:rsidRPr="00B807B6">
        <w:t>(number and % of nights stayed by travellers with accessible needs)</w:t>
      </w:r>
      <w:bookmarkStart w:id="38" w:name="_Toc202255477"/>
    </w:p>
    <w:p w14:paraId="301D4C87" w14:textId="2363B1DE" w:rsidR="00236D79" w:rsidRDefault="00236D79">
      <w:pPr>
        <w:spacing w:before="0" w:after="160" w:line="259" w:lineRule="auto"/>
        <w:rPr>
          <w:bCs/>
          <w:color w:val="300050" w:themeColor="text2"/>
          <w:sz w:val="28"/>
          <w:szCs w:val="32"/>
        </w:rPr>
      </w:pPr>
      <w:r>
        <w:rPr>
          <w:noProof/>
        </w:rPr>
        <w:drawing>
          <wp:inline distT="0" distB="0" distL="0" distR="0" wp14:anchorId="42AB5A67" wp14:editId="179A26BE">
            <wp:extent cx="6329680" cy="5103495"/>
            <wp:effectExtent l="0" t="0" r="0" b="1905"/>
            <wp:docPr id="1730595186" name="Picture 1" descr="A map of australia showing state share of nights of travellers with accessible needs.&#10;NSW has the highest number of trips taken at 30.5% followed by Queensland at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95186" name="Picture 1" descr="A map of australia showing state share of nights of travellers with accessible needs.&#10;NSW has the highest number of trips taken at 30.5% followed by Queensland at 24.3%."/>
                    <pic:cNvPicPr/>
                  </pic:nvPicPr>
                  <pic:blipFill>
                    <a:blip r:embed="rId23"/>
                    <a:stretch>
                      <a:fillRect/>
                    </a:stretch>
                  </pic:blipFill>
                  <pic:spPr>
                    <a:xfrm>
                      <a:off x="0" y="0"/>
                      <a:ext cx="6329680" cy="5103495"/>
                    </a:xfrm>
                    <a:prstGeom prst="rect">
                      <a:avLst/>
                    </a:prstGeom>
                  </pic:spPr>
                </pic:pic>
              </a:graphicData>
            </a:graphic>
          </wp:inline>
        </w:drawing>
      </w:r>
      <w:r>
        <w:br w:type="page"/>
      </w:r>
    </w:p>
    <w:p w14:paraId="6B2E1DC9" w14:textId="63EA5720" w:rsidR="00B807B6" w:rsidRPr="00A26D63" w:rsidRDefault="00375C1B" w:rsidP="00A26D63">
      <w:pPr>
        <w:pStyle w:val="Heading3"/>
      </w:pPr>
      <w:bookmarkStart w:id="39" w:name="_Toc204158237"/>
      <w:bookmarkStart w:id="40" w:name="_Toc204158463"/>
      <w:bookmarkStart w:id="41" w:name="_Toc204158633"/>
      <w:r w:rsidRPr="00A26D63">
        <w:lastRenderedPageBreak/>
        <w:t xml:space="preserve">Case study: </w:t>
      </w:r>
      <w:r w:rsidRPr="00375C1B">
        <w:t>Story Bridge Adventure Climb, Brisbane</w:t>
      </w:r>
      <w:bookmarkEnd w:id="38"/>
      <w:bookmarkEnd w:id="39"/>
      <w:bookmarkEnd w:id="40"/>
      <w:bookmarkEnd w:id="41"/>
    </w:p>
    <w:p w14:paraId="7AEAC895" w14:textId="77777777" w:rsidR="00CC48A9" w:rsidRDefault="00CC48A9" w:rsidP="00CC48A9">
      <w:pPr>
        <w:spacing w:before="0" w:after="160" w:line="259" w:lineRule="auto"/>
      </w:pPr>
    </w:p>
    <w:p w14:paraId="585B7FE0" w14:textId="5E158289" w:rsidR="00CC48A9" w:rsidRDefault="00CC48A9" w:rsidP="00CC48A9">
      <w:pPr>
        <w:spacing w:before="0" w:after="160" w:line="259" w:lineRule="auto"/>
      </w:pPr>
      <w:r>
        <w:t xml:space="preserve">Artemus Group operates the Story Bridge Adventure Climb which includes the world’s first accessible bridge climb. By integrating universal design principles and cutting-edge adaptive technology, Artemus Group has cultivated an experience where individuals with accessibility requirements, including those who use wheelchairs, can now enjoy the thrill of scaling Brisbane’s iconic landmark. </w:t>
      </w:r>
    </w:p>
    <w:p w14:paraId="13A07F9C" w14:textId="300BD61A" w:rsidR="00CC48A9" w:rsidRDefault="00CC48A9" w:rsidP="00CC48A9">
      <w:pPr>
        <w:spacing w:before="0" w:after="160" w:line="259" w:lineRule="auto"/>
      </w:pPr>
      <w:r>
        <w:t xml:space="preserve">Guests can experience the Story Bridge on a </w:t>
      </w:r>
      <w:proofErr w:type="spellStart"/>
      <w:r>
        <w:t>speciallydesigned</w:t>
      </w:r>
      <w:proofErr w:type="spellEnd"/>
      <w:r>
        <w:t xml:space="preserve"> wheelchair with a battery-operated caterpillar tread system allowing for a smooth ascent. The Motorised Stair Climber Wheelchair is of the highest safety standard and ensures individuals with accessibility requirements can expect smooth and safe movement over inclines, ergonomic design for participant comfort and integrated safety features. </w:t>
      </w:r>
    </w:p>
    <w:p w14:paraId="0595EDCE" w14:textId="41E83D8F" w:rsidR="00CC48A9" w:rsidRDefault="00CC48A9" w:rsidP="00CC48A9">
      <w:pPr>
        <w:spacing w:before="0" w:after="160" w:line="259" w:lineRule="auto"/>
      </w:pPr>
      <w:r>
        <w:t>Story Bridge Adventure Climb has partnered with Spinal Life Australia, Sporting Wheelies, and Queensland Tourism Adventure Council to ensure ongoing accessibility and support for participants with diverse mobility needs.  This pioneering initiative marks a significant milestone in accessibility and adventure tourism in Australia.</w:t>
      </w:r>
    </w:p>
    <w:p w14:paraId="5B289156" w14:textId="71D1DF4C" w:rsidR="000D643F" w:rsidRDefault="00CC48A9" w:rsidP="00CC48A9">
      <w:pPr>
        <w:spacing w:before="0" w:after="160" w:line="259" w:lineRule="auto"/>
        <w:rPr>
          <w:lang w:val="pt-PT"/>
        </w:rPr>
      </w:pPr>
      <w:r>
        <w:t>This is a breakthrough in tourism for Australia. Attractions like this position Brisbane as a world-class city with dynamic tourism offerings ahead of the 2032 Brisbane Olympic and Paralympic games. </w:t>
      </w:r>
      <w:r w:rsidR="000D643F">
        <w:rPr>
          <w:lang w:val="pt-PT"/>
        </w:rPr>
        <w:br w:type="page"/>
      </w:r>
    </w:p>
    <w:p w14:paraId="7BCC1F79" w14:textId="60649752" w:rsidR="002E357B" w:rsidRDefault="00231EAF" w:rsidP="000D643F">
      <w:pPr>
        <w:pStyle w:val="Heading2"/>
        <w:rPr>
          <w:lang w:val="pt-PT"/>
        </w:rPr>
      </w:pPr>
      <w:bookmarkStart w:id="42" w:name="_Toc204158634"/>
      <w:r>
        <w:rPr>
          <w:lang w:val="pt-PT"/>
        </w:rPr>
        <w:lastRenderedPageBreak/>
        <w:t>Travel</w:t>
      </w:r>
      <w:r w:rsidR="00CC48A9">
        <w:rPr>
          <w:lang w:val="pt-PT"/>
        </w:rPr>
        <w:t xml:space="preserve">lers with accessible needs; how they travel </w:t>
      </w:r>
      <w:r>
        <w:rPr>
          <w:lang w:val="pt-PT"/>
        </w:rPr>
        <w:t>(holiday, VFR and business travellers only)</w:t>
      </w:r>
      <w:bookmarkEnd w:id="42"/>
    </w:p>
    <w:p w14:paraId="357D2E4E" w14:textId="475BE4D1" w:rsidR="00231EAF" w:rsidRPr="00231EAF" w:rsidRDefault="009377BD" w:rsidP="000F520D">
      <w:pPr>
        <w:rPr>
          <w:lang w:val="pt-PT" w:eastAsia="zh-CN"/>
        </w:rPr>
      </w:pPr>
      <w:r w:rsidRPr="009377BD">
        <w:rPr>
          <w:lang w:eastAsia="zh-CN"/>
        </w:rPr>
        <w:t>Travellers with accessible needs are more likely to travel with other people and stay with friends and family</w:t>
      </w:r>
      <w:r w:rsidR="000F520D">
        <w:rPr>
          <w:lang w:eastAsia="zh-CN"/>
        </w:rPr>
        <w:t>.</w:t>
      </w:r>
    </w:p>
    <w:p w14:paraId="7B0811AB" w14:textId="65668809" w:rsidR="002E357B" w:rsidRDefault="000647D5" w:rsidP="009377BD">
      <w:pPr>
        <w:pStyle w:val="ListParagraph"/>
        <w:numPr>
          <w:ilvl w:val="0"/>
          <w:numId w:val="28"/>
        </w:numPr>
        <w:rPr>
          <w:lang w:val="pt-PT"/>
        </w:rPr>
      </w:pPr>
      <w:r>
        <w:rPr>
          <w:lang w:val="pt-PT"/>
        </w:rPr>
        <w:t>Average nights spent on a trip – 4.0 nights</w:t>
      </w:r>
    </w:p>
    <w:p w14:paraId="54FEB876" w14:textId="4BBD8E1E" w:rsidR="000647D5" w:rsidRDefault="000647D5" w:rsidP="009377BD">
      <w:pPr>
        <w:pStyle w:val="ListParagraph"/>
        <w:numPr>
          <w:ilvl w:val="0"/>
          <w:numId w:val="28"/>
        </w:numPr>
        <w:rPr>
          <w:lang w:val="pt-PT"/>
        </w:rPr>
      </w:pPr>
      <w:r>
        <w:rPr>
          <w:lang w:val="pt-PT"/>
        </w:rPr>
        <w:t>Nights spent at family or frieends for accommodation – 40%</w:t>
      </w:r>
    </w:p>
    <w:p w14:paraId="60B788BE" w14:textId="178728DB" w:rsidR="000647D5" w:rsidRDefault="00F67BBB" w:rsidP="009377BD">
      <w:pPr>
        <w:pStyle w:val="ListParagraph"/>
        <w:numPr>
          <w:ilvl w:val="0"/>
          <w:numId w:val="28"/>
        </w:numPr>
        <w:rPr>
          <w:lang w:val="pt-PT"/>
        </w:rPr>
      </w:pPr>
      <w:r>
        <w:rPr>
          <w:lang w:val="pt-PT"/>
        </w:rPr>
        <w:t>Less likely to travel alone compared to other travellers – 28% vs 36% respectively</w:t>
      </w:r>
    </w:p>
    <w:p w14:paraId="5671BEA3" w14:textId="50F44CE2" w:rsidR="00F67BBB" w:rsidRDefault="00F67BBB" w:rsidP="009377BD">
      <w:pPr>
        <w:pStyle w:val="ListParagraph"/>
        <w:numPr>
          <w:ilvl w:val="0"/>
          <w:numId w:val="28"/>
        </w:numPr>
        <w:rPr>
          <w:lang w:val="pt-PT"/>
        </w:rPr>
      </w:pPr>
      <w:r>
        <w:rPr>
          <w:lang w:val="pt-PT"/>
        </w:rPr>
        <w:t>Drive themselves to their destination over other transport options – 87%</w:t>
      </w:r>
    </w:p>
    <w:p w14:paraId="6B81208B" w14:textId="2F3CD26F" w:rsidR="00943D13" w:rsidRPr="00943D13" w:rsidRDefault="00943D13" w:rsidP="00943D13">
      <w:pPr>
        <w:rPr>
          <w:lang w:val="pt-PT"/>
        </w:rPr>
      </w:pPr>
      <w:r w:rsidRPr="00943D13">
        <w:rPr>
          <w:lang w:val="pt-PT"/>
        </w:rPr>
        <w:t>Note: this section focuses on holiday, business and business travellers in order to remove skews of the data caused by differences in the composition of the international visitor population.</w:t>
      </w:r>
    </w:p>
    <w:p w14:paraId="76CFAAE7" w14:textId="26BDE93C" w:rsidR="00943D13" w:rsidRPr="00943D13" w:rsidRDefault="00943D13" w:rsidP="00943D13">
      <w:pPr>
        <w:rPr>
          <w:lang w:val="pt-PT"/>
        </w:rPr>
      </w:pPr>
      <w:r w:rsidRPr="00943D13">
        <w:rPr>
          <w:lang w:val="pt-PT"/>
        </w:rPr>
        <w:t>Data is for domestic and international travellers travelling for business, holiday or visiting friends and relatives (where applicable).</w:t>
      </w:r>
    </w:p>
    <w:p w14:paraId="50CA6718" w14:textId="78531E97" w:rsidR="00DF3C47" w:rsidRDefault="00A26D63" w:rsidP="00A26D63">
      <w:pPr>
        <w:pStyle w:val="Heading3"/>
      </w:pPr>
      <w:bookmarkStart w:id="43" w:name="_Toc202255479"/>
      <w:bookmarkStart w:id="44" w:name="_Toc204158183"/>
      <w:bookmarkStart w:id="45" w:name="_Toc204158239"/>
      <w:bookmarkStart w:id="46" w:name="_Toc204158465"/>
      <w:bookmarkStart w:id="47" w:name="_Toc204158635"/>
      <w:r>
        <w:t>Trips</w:t>
      </w:r>
      <w:r w:rsidR="00DF3C47">
        <w:t xml:space="preserve"> spend</w:t>
      </w:r>
      <w:bookmarkEnd w:id="43"/>
      <w:bookmarkEnd w:id="44"/>
      <w:bookmarkEnd w:id="45"/>
      <w:bookmarkEnd w:id="46"/>
      <w:bookmarkEnd w:id="47"/>
    </w:p>
    <w:p w14:paraId="0B35CC96" w14:textId="5679FD48" w:rsidR="002070BE" w:rsidRDefault="002070BE" w:rsidP="002070BE">
      <w:r w:rsidRPr="002070BE">
        <w:t xml:space="preserve">For all traveller types, travellers with accessibility needs spent less per trip on average than other travellers. </w:t>
      </w:r>
    </w:p>
    <w:p w14:paraId="3083D00D" w14:textId="66CE0818" w:rsidR="00DA49C6" w:rsidRPr="002070BE" w:rsidRDefault="00DA49C6" w:rsidP="00DA49C6">
      <w:r>
        <w:t xml:space="preserve">This may be partially </w:t>
      </w:r>
      <w:r w:rsidR="001E4EBF">
        <w:t>because</w:t>
      </w:r>
      <w:r>
        <w:t xml:space="preserve"> domestic travellers with accessible needs are less likely to travel interstate while international travellers with accessible needs tend to take slightly shorter trips than other travellers.</w:t>
      </w:r>
    </w:p>
    <w:p w14:paraId="29F65BF4" w14:textId="62E31855" w:rsidR="002070BE" w:rsidRPr="002070BE" w:rsidRDefault="002070BE" w:rsidP="002070BE">
      <w:pPr>
        <w:pStyle w:val="ListParagraph"/>
        <w:numPr>
          <w:ilvl w:val="0"/>
          <w:numId w:val="28"/>
        </w:numPr>
        <w:rPr>
          <w:lang w:val="pt-PT"/>
        </w:rPr>
      </w:pPr>
      <w:r w:rsidRPr="002070BE">
        <w:rPr>
          <w:lang w:val="pt-PT"/>
        </w:rPr>
        <w:t>Avg trip spend of international travellers with accessible needs ($2,516) was 92% of that of other international travellers ($2,744).</w:t>
      </w:r>
    </w:p>
    <w:p w14:paraId="6B3261BA" w14:textId="092E3953" w:rsidR="002070BE" w:rsidRPr="002070BE" w:rsidRDefault="002070BE" w:rsidP="002070BE">
      <w:pPr>
        <w:pStyle w:val="ListParagraph"/>
        <w:numPr>
          <w:ilvl w:val="0"/>
          <w:numId w:val="28"/>
        </w:numPr>
        <w:rPr>
          <w:lang w:val="pt-PT"/>
        </w:rPr>
      </w:pPr>
      <w:r w:rsidRPr="002070BE">
        <w:rPr>
          <w:lang w:val="pt-PT"/>
        </w:rPr>
        <w:t>Avg trip spend of domestic overnight travellers with accessible needs ($917) was 93% of that of other travellers ($987).</w:t>
      </w:r>
    </w:p>
    <w:p w14:paraId="06DBFE5B" w14:textId="41A0C88B" w:rsidR="002070BE" w:rsidRPr="002070BE" w:rsidRDefault="002070BE" w:rsidP="002070BE">
      <w:pPr>
        <w:pStyle w:val="ListParagraph"/>
        <w:numPr>
          <w:ilvl w:val="0"/>
          <w:numId w:val="28"/>
        </w:numPr>
        <w:rPr>
          <w:lang w:val="pt-PT"/>
        </w:rPr>
      </w:pPr>
      <w:r w:rsidRPr="002070BE">
        <w:rPr>
          <w:lang w:val="pt-PT"/>
        </w:rPr>
        <w:t>Avg trip spend of domestic day trip travellers with accessible needs ($139) was 92% of that of other travellers ($152).</w:t>
      </w:r>
    </w:p>
    <w:p w14:paraId="1A148C97" w14:textId="20F68C06" w:rsidR="005D2B84" w:rsidRDefault="00672B15" w:rsidP="002070BE">
      <w:pPr>
        <w:pStyle w:val="Caption"/>
      </w:pPr>
      <w:r>
        <w:rPr>
          <w:noProof/>
        </w:rPr>
        <w:lastRenderedPageBreak/>
        <w:drawing>
          <wp:anchor distT="0" distB="0" distL="114300" distR="114300" simplePos="0" relativeHeight="251658242" behindDoc="0" locked="0" layoutInCell="1" allowOverlap="1" wp14:anchorId="698500E8" wp14:editId="2D6685FE">
            <wp:simplePos x="0" y="0"/>
            <wp:positionH relativeFrom="page">
              <wp:align>center</wp:align>
            </wp:positionH>
            <wp:positionV relativeFrom="paragraph">
              <wp:posOffset>254000</wp:posOffset>
            </wp:positionV>
            <wp:extent cx="6329680" cy="5319395"/>
            <wp:effectExtent l="0" t="0" r="0" b="0"/>
            <wp:wrapSquare wrapText="bothSides"/>
            <wp:docPr id="949613072" name="Picture 1" descr="Clustered column graph for international average trip spend, Avg trip spend of international travellers with accessible needs ($2,516) was 92% of that of other international travellers ($2,744).&#10;Avg trip spend of domestic overnight travellers with accessible needs ($917) was 93% of that of other travellers ($987).&#10;Avg trip spend of domestic day trip travellers with accessible needs ($139) was 92% of that of other travellers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13072" name="Picture 1" descr="Clustered column graph for international average trip spend, Avg trip spend of international travellers with accessible needs ($2,516) was 92% of that of other international travellers ($2,744).&#10;Avg trip spend of domestic overnight travellers with accessible needs ($917) was 93% of that of other travellers ($987).&#10;Avg trip spend of domestic day trip travellers with accessible needs ($139) was 92% of that of other travellers ($152)."/>
                    <pic:cNvPicPr/>
                  </pic:nvPicPr>
                  <pic:blipFill>
                    <a:blip r:embed="rId24"/>
                    <a:stretch>
                      <a:fillRect/>
                    </a:stretch>
                  </pic:blipFill>
                  <pic:spPr>
                    <a:xfrm>
                      <a:off x="0" y="0"/>
                      <a:ext cx="6329680" cy="5319395"/>
                    </a:xfrm>
                    <a:prstGeom prst="rect">
                      <a:avLst/>
                    </a:prstGeom>
                  </pic:spPr>
                </pic:pic>
              </a:graphicData>
            </a:graphic>
          </wp:anchor>
        </w:drawing>
      </w:r>
      <w:r w:rsidR="002070BE">
        <w:t xml:space="preserve">Figure </w:t>
      </w:r>
      <w:r w:rsidR="002070BE">
        <w:fldChar w:fldCharType="begin"/>
      </w:r>
      <w:r w:rsidR="002070BE">
        <w:instrText xml:space="preserve"> SEQ Figure \* ARABIC </w:instrText>
      </w:r>
      <w:r w:rsidR="002070BE">
        <w:fldChar w:fldCharType="separate"/>
      </w:r>
      <w:r w:rsidR="00B95227">
        <w:rPr>
          <w:noProof/>
        </w:rPr>
        <w:t>7</w:t>
      </w:r>
      <w:r w:rsidR="002070BE">
        <w:fldChar w:fldCharType="end"/>
      </w:r>
      <w:r w:rsidR="002070BE">
        <w:t>: Average spend per trip ($)</w:t>
      </w:r>
    </w:p>
    <w:p w14:paraId="2885A596" w14:textId="641D2449" w:rsidR="00BA50E4" w:rsidRPr="00BA50E4" w:rsidRDefault="00F35B10" w:rsidP="00BA50E4">
      <w:r>
        <w:rPr>
          <w:noProof/>
        </w:rPr>
        <w:drawing>
          <wp:inline distT="0" distB="0" distL="0" distR="0" wp14:anchorId="412EB9A3" wp14:editId="54C6179C">
            <wp:extent cx="6329680" cy="5319395"/>
            <wp:effectExtent l="0" t="0" r="0" b="0"/>
            <wp:docPr id="2101477489"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477489" name="Picture 1" descr="A graph of different colored bars&#10;&#10;AI-generated content may be incorrect."/>
                    <pic:cNvPicPr/>
                  </pic:nvPicPr>
                  <pic:blipFill>
                    <a:blip r:embed="rId24"/>
                    <a:stretch>
                      <a:fillRect/>
                    </a:stretch>
                  </pic:blipFill>
                  <pic:spPr>
                    <a:xfrm>
                      <a:off x="0" y="0"/>
                      <a:ext cx="6329680" cy="5319395"/>
                    </a:xfrm>
                    <a:prstGeom prst="rect">
                      <a:avLst/>
                    </a:prstGeom>
                  </pic:spPr>
                </pic:pic>
              </a:graphicData>
            </a:graphic>
          </wp:inline>
        </w:drawing>
      </w:r>
      <w:r w:rsidR="00BA50E4" w:rsidRPr="00BA50E4">
        <w:t>The proportions of trip spend by item were quite similar between travellers with accessible needs and other travellers. The most notable difference between the groups is that travellers with accessible needs spent a smaller proportion on airfares than do other travellers (9% vs 11%).</w:t>
      </w:r>
    </w:p>
    <w:p w14:paraId="470D9A44" w14:textId="237D2623" w:rsidR="00BA50E4" w:rsidRDefault="00BA50E4" w:rsidP="00BA50E4">
      <w:r w:rsidRPr="00BA50E4">
        <w:t>Food, drink and accommodation accounted for the majority of trip spend of travellers with accessible needs (with 53% of total spend). International travellers spend a higher proportion of trip spend on tours, but a lower proportion on domestic airfares than domestic travellers.</w:t>
      </w:r>
    </w:p>
    <w:p w14:paraId="4B43D775" w14:textId="35A4F6E3" w:rsidR="005A7333" w:rsidRDefault="0000193F" w:rsidP="002F0AA6">
      <w:pPr>
        <w:pStyle w:val="Caption"/>
        <w:rPr>
          <w:bCs/>
          <w:sz w:val="28"/>
          <w:szCs w:val="32"/>
        </w:rPr>
      </w:pPr>
      <w:r>
        <w:lastRenderedPageBreak/>
        <w:t xml:space="preserve">Figure </w:t>
      </w:r>
      <w:r>
        <w:fldChar w:fldCharType="begin"/>
      </w:r>
      <w:r>
        <w:instrText xml:space="preserve"> SEQ Figure \* ARABIC </w:instrText>
      </w:r>
      <w:r>
        <w:fldChar w:fldCharType="separate"/>
      </w:r>
      <w:r w:rsidR="00B95227">
        <w:rPr>
          <w:noProof/>
        </w:rPr>
        <w:t>8</w:t>
      </w:r>
      <w:r>
        <w:fldChar w:fldCharType="end"/>
      </w:r>
      <w:r>
        <w:t xml:space="preserve">: Expenditure items (% of total expenditure by item) </w:t>
      </w:r>
      <w:bookmarkStart w:id="48" w:name="_Toc202255480"/>
      <w:r w:rsidR="002F0AA6">
        <w:rPr>
          <w:noProof/>
        </w:rPr>
        <w:drawing>
          <wp:inline distT="0" distB="0" distL="0" distR="0" wp14:anchorId="004B0E84" wp14:editId="248B1744">
            <wp:extent cx="6329680" cy="4711700"/>
            <wp:effectExtent l="0" t="0" r="0" b="0"/>
            <wp:docPr id="920187235" name="Picture 1" descr="Clustered bar chart outlining the expenditure items as a proportion of total expenditure by accessible travellers vs other travellers. &#10;All travellers spend the most on food and drink, followed by accommoda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87235" name="Picture 1" descr="Clustered bar chart outlining the expenditure items as a proportion of total expenditure by accessible travellers vs other travellers. &#10;All travellers spend the most on food and drink, followed by accommodation. &#10;"/>
                    <pic:cNvPicPr/>
                  </pic:nvPicPr>
                  <pic:blipFill>
                    <a:blip r:embed="rId25"/>
                    <a:stretch>
                      <a:fillRect/>
                    </a:stretch>
                  </pic:blipFill>
                  <pic:spPr>
                    <a:xfrm>
                      <a:off x="0" y="0"/>
                      <a:ext cx="6329680" cy="4711700"/>
                    </a:xfrm>
                    <a:prstGeom prst="rect">
                      <a:avLst/>
                    </a:prstGeom>
                  </pic:spPr>
                </pic:pic>
              </a:graphicData>
            </a:graphic>
          </wp:inline>
        </w:drawing>
      </w:r>
      <w:r w:rsidR="005A7333">
        <w:br w:type="page"/>
      </w:r>
    </w:p>
    <w:p w14:paraId="27748296" w14:textId="0B760FAB" w:rsidR="00DF3C47" w:rsidRDefault="00DF3C47" w:rsidP="00A26D63">
      <w:pPr>
        <w:pStyle w:val="Heading3"/>
      </w:pPr>
      <w:bookmarkStart w:id="49" w:name="_Toc204158184"/>
      <w:bookmarkStart w:id="50" w:name="_Toc204158240"/>
      <w:bookmarkStart w:id="51" w:name="_Toc204158466"/>
      <w:bookmarkStart w:id="52" w:name="_Toc204158636"/>
      <w:r>
        <w:lastRenderedPageBreak/>
        <w:t>Trip length</w:t>
      </w:r>
      <w:bookmarkEnd w:id="48"/>
      <w:bookmarkEnd w:id="49"/>
      <w:bookmarkEnd w:id="50"/>
      <w:bookmarkEnd w:id="51"/>
      <w:bookmarkEnd w:id="52"/>
    </w:p>
    <w:p w14:paraId="1361DB52" w14:textId="6E72069C" w:rsidR="00C558A0" w:rsidRPr="00C558A0" w:rsidRDefault="00C558A0" w:rsidP="00C558A0">
      <w:r w:rsidRPr="00C558A0">
        <w:t>Domestic overnight trips were longer for those with accessible needs (3.7 nights) than those without (3.4 nights).</w:t>
      </w:r>
      <w:r w:rsidR="009F4089">
        <w:t xml:space="preserve"> </w:t>
      </w:r>
      <w:r w:rsidRPr="00C558A0">
        <w:t xml:space="preserve">By contrast, international visitors with accessible needs on average had slightly shorter trips (26.1 nights) than those with no accessible needs (26.6 nights). </w:t>
      </w:r>
    </w:p>
    <w:p w14:paraId="2C27A0A6" w14:textId="21071819" w:rsidR="00C558A0" w:rsidRPr="00C558A0" w:rsidRDefault="00C558A0" w:rsidP="00C558A0">
      <w:r w:rsidRPr="00C558A0">
        <w:t>International travellers with accessible needs travelling for business had slightly longer trips (17.4 nights) than other travellers (13.2 nights). They also had shorter holiday trips than other travellers (21.6 nights vs 26.1 nights).</w:t>
      </w:r>
    </w:p>
    <w:p w14:paraId="0643ABE2" w14:textId="77777777" w:rsidR="00927A09" w:rsidRDefault="00C558A0" w:rsidP="0062754B">
      <w:pPr>
        <w:pStyle w:val="Caption"/>
      </w:pPr>
      <w:r>
        <w:t xml:space="preserve">Figure </w:t>
      </w:r>
      <w:r>
        <w:fldChar w:fldCharType="begin"/>
      </w:r>
      <w:r>
        <w:instrText xml:space="preserve"> SEQ Figure \* ARABIC </w:instrText>
      </w:r>
      <w:r>
        <w:fldChar w:fldCharType="separate"/>
      </w:r>
      <w:r w:rsidR="00B95227">
        <w:rPr>
          <w:noProof/>
        </w:rPr>
        <w:t>9</w:t>
      </w:r>
      <w:r>
        <w:fldChar w:fldCharType="end"/>
      </w:r>
      <w:r>
        <w:t xml:space="preserve">: Average trip length (nights) </w:t>
      </w:r>
    </w:p>
    <w:p w14:paraId="579B2A77" w14:textId="23094EED" w:rsidR="00927A09" w:rsidRDefault="00927A09" w:rsidP="0062754B">
      <w:pPr>
        <w:pStyle w:val="Caption"/>
      </w:pPr>
      <w:r>
        <w:rPr>
          <w:noProof/>
        </w:rPr>
        <w:drawing>
          <wp:inline distT="0" distB="0" distL="0" distR="0" wp14:anchorId="3725A7CD" wp14:editId="39ED2EEB">
            <wp:extent cx="6329680" cy="4851400"/>
            <wp:effectExtent l="0" t="0" r="0" b="6350"/>
            <wp:docPr id="2142130387" name="Picture 1" descr="Clustered column chart outlining the average trip length of International visitors by trip reason. On average, intl visitors with accessible needs stay 26.1 nights compared to other travellers that stay 26.6nights. &#10;Average trip length of domestic overnight trips by trip reason. On average, visitors with accessible needs stay 3.7 nights compared to other travellers that stay 3.4 nigh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30387" name="Picture 1" descr="Clustered column chart outlining the average trip length of International visitors by trip reason. On average, intl visitors with accessible needs stay 26.1 nights compared to other travellers that stay 26.6nights. &#10;Average trip length of domestic overnight trips by trip reason. On average, visitors with accessible needs stay 3.7 nights compared to other travellers that stay 3.4 nights. "/>
                    <pic:cNvPicPr/>
                  </pic:nvPicPr>
                  <pic:blipFill>
                    <a:blip r:embed="rId26"/>
                    <a:stretch>
                      <a:fillRect/>
                    </a:stretch>
                  </pic:blipFill>
                  <pic:spPr>
                    <a:xfrm>
                      <a:off x="0" y="0"/>
                      <a:ext cx="6329680" cy="4851400"/>
                    </a:xfrm>
                    <a:prstGeom prst="rect">
                      <a:avLst/>
                    </a:prstGeom>
                  </pic:spPr>
                </pic:pic>
              </a:graphicData>
            </a:graphic>
          </wp:inline>
        </w:drawing>
      </w:r>
    </w:p>
    <w:p w14:paraId="65108982" w14:textId="5B2DBE11" w:rsidR="00F82836" w:rsidRDefault="00F82836" w:rsidP="0062754B">
      <w:pPr>
        <w:pStyle w:val="Caption"/>
      </w:pPr>
    </w:p>
    <w:p w14:paraId="60E68867" w14:textId="04E18412" w:rsidR="0062754B" w:rsidRDefault="0062754B">
      <w:pPr>
        <w:spacing w:before="0" w:after="160" w:line="259" w:lineRule="auto"/>
      </w:pPr>
    </w:p>
    <w:p w14:paraId="21F0F0B0" w14:textId="5C85361F" w:rsidR="002E357B" w:rsidRDefault="002E357B" w:rsidP="002E357B">
      <w:pPr>
        <w:rPr>
          <w:lang w:val="pt-PT"/>
        </w:rPr>
      </w:pPr>
    </w:p>
    <w:p w14:paraId="02671952" w14:textId="77777777" w:rsidR="00C32AF4" w:rsidRDefault="00C32AF4">
      <w:pPr>
        <w:spacing w:before="0" w:after="160" w:line="259" w:lineRule="auto"/>
        <w:rPr>
          <w:bCs/>
          <w:color w:val="300050" w:themeColor="text2"/>
          <w:sz w:val="28"/>
          <w:szCs w:val="32"/>
        </w:rPr>
      </w:pPr>
      <w:bookmarkStart w:id="53" w:name="_Toc202255481"/>
      <w:r>
        <w:br w:type="page"/>
      </w:r>
    </w:p>
    <w:p w14:paraId="6B0CF584" w14:textId="4966A8D0" w:rsidR="00A26D63" w:rsidRDefault="00A26D63" w:rsidP="00A26D63">
      <w:pPr>
        <w:pStyle w:val="Heading3"/>
      </w:pPr>
      <w:bookmarkStart w:id="54" w:name="_Toc204158185"/>
      <w:bookmarkStart w:id="55" w:name="_Toc204158241"/>
      <w:bookmarkStart w:id="56" w:name="_Toc204158467"/>
      <w:bookmarkStart w:id="57" w:name="_Toc204158637"/>
      <w:r>
        <w:lastRenderedPageBreak/>
        <w:t>Accommodation</w:t>
      </w:r>
      <w:bookmarkEnd w:id="53"/>
      <w:bookmarkEnd w:id="54"/>
      <w:bookmarkEnd w:id="55"/>
      <w:bookmarkEnd w:id="56"/>
      <w:bookmarkEnd w:id="57"/>
    </w:p>
    <w:p w14:paraId="29662495" w14:textId="3A5BB3C9" w:rsidR="00804452" w:rsidRPr="00804452" w:rsidRDefault="00804452" w:rsidP="00804452">
      <w:r w:rsidRPr="00804452">
        <w:t xml:space="preserve">The most common accommodation type for travellers with accessible needs was “friends or relatives’ property” (accounting for 40% of all nights stayed). The next most common accommodation type was hotel, motel or resorts (25% of nights) and third was caravan parks or camping (15% of nights).  </w:t>
      </w:r>
    </w:p>
    <w:p w14:paraId="728ADA00" w14:textId="73AF33A5" w:rsidR="00804452" w:rsidRPr="00804452" w:rsidRDefault="00804452" w:rsidP="00804452">
      <w:r w:rsidRPr="00804452">
        <w:t>In comparison with other travellers, travellers with accessible needs were more likely to stay at friends or relatives’ property (40% vs 38%) or caravan park or camping (15% vs 9%).</w:t>
      </w:r>
      <w:r>
        <w:t xml:space="preserve"> </w:t>
      </w:r>
      <w:r w:rsidRPr="00804452">
        <w:t xml:space="preserve">By contrast, they were less likely to stay at rented accommodation (9% vs 14%). </w:t>
      </w:r>
    </w:p>
    <w:p w14:paraId="2D21DF79" w14:textId="60EAC0E6" w:rsidR="00024902" w:rsidRPr="003D3317" w:rsidRDefault="00804452" w:rsidP="003D3317">
      <w:pPr>
        <w:pStyle w:val="Caption"/>
      </w:pPr>
      <w:r>
        <w:t xml:space="preserve">Figure </w:t>
      </w:r>
      <w:r>
        <w:fldChar w:fldCharType="begin"/>
      </w:r>
      <w:r>
        <w:instrText xml:space="preserve"> SEQ Figure \* ARABIC </w:instrText>
      </w:r>
      <w:r>
        <w:fldChar w:fldCharType="separate"/>
      </w:r>
      <w:r w:rsidR="00B95227">
        <w:rPr>
          <w:noProof/>
        </w:rPr>
        <w:t>10</w:t>
      </w:r>
      <w:r>
        <w:fldChar w:fldCharType="end"/>
      </w:r>
      <w:r>
        <w:t xml:space="preserve">: </w:t>
      </w:r>
      <w:r w:rsidR="000C73D3" w:rsidRPr="000C73D3">
        <w:t>Travel accommodation: travellers with accessible needs vs other travellers (% of nights)</w:t>
      </w:r>
    </w:p>
    <w:p w14:paraId="4E37E25D" w14:textId="29BC3440" w:rsidR="00C32AF4" w:rsidRDefault="003D3317">
      <w:pPr>
        <w:spacing w:before="0" w:after="160" w:line="259" w:lineRule="auto"/>
        <w:rPr>
          <w:bCs/>
          <w:color w:val="300050" w:themeColor="text2"/>
          <w:sz w:val="28"/>
          <w:szCs w:val="32"/>
        </w:rPr>
      </w:pPr>
      <w:bookmarkStart w:id="58" w:name="_Toc202255482"/>
      <w:r>
        <w:rPr>
          <w:noProof/>
        </w:rPr>
        <w:drawing>
          <wp:inline distT="0" distB="0" distL="0" distR="0" wp14:anchorId="342D49C7" wp14:editId="6413FEC1">
            <wp:extent cx="6329680" cy="4989195"/>
            <wp:effectExtent l="0" t="0" r="0" b="1905"/>
            <wp:docPr id="396940212" name="Picture 1" descr="Clustered bar chart outlining the travel accommodation by travellers with accessible needs vs other travellers.&#10;All travellers stay more at friends and families than other accommodation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40212" name="Picture 1" descr="Clustered bar chart outlining the travel accommodation by travellers with accessible needs vs other travellers.&#10;All travellers stay more at friends and families than other accommodations. &#10;"/>
                    <pic:cNvPicPr/>
                  </pic:nvPicPr>
                  <pic:blipFill>
                    <a:blip r:embed="rId27"/>
                    <a:stretch>
                      <a:fillRect/>
                    </a:stretch>
                  </pic:blipFill>
                  <pic:spPr>
                    <a:xfrm>
                      <a:off x="0" y="0"/>
                      <a:ext cx="6329680" cy="4989195"/>
                    </a:xfrm>
                    <a:prstGeom prst="rect">
                      <a:avLst/>
                    </a:prstGeom>
                  </pic:spPr>
                </pic:pic>
              </a:graphicData>
            </a:graphic>
          </wp:inline>
        </w:drawing>
      </w:r>
      <w:r w:rsidR="00C32AF4">
        <w:br w:type="page"/>
      </w:r>
    </w:p>
    <w:p w14:paraId="5C353FF8" w14:textId="48430587" w:rsidR="00024902" w:rsidRPr="00A26D63" w:rsidRDefault="00A26D63" w:rsidP="00A26D63">
      <w:pPr>
        <w:pStyle w:val="Heading3"/>
      </w:pPr>
      <w:bookmarkStart w:id="59" w:name="_Toc204158186"/>
      <w:bookmarkStart w:id="60" w:name="_Toc204158242"/>
      <w:bookmarkStart w:id="61" w:name="_Toc204158468"/>
      <w:bookmarkStart w:id="62" w:name="_Toc204158638"/>
      <w:r w:rsidRPr="00A26D63">
        <w:lastRenderedPageBreak/>
        <w:t>Travel party</w:t>
      </w:r>
      <w:bookmarkEnd w:id="58"/>
      <w:bookmarkEnd w:id="59"/>
      <w:bookmarkEnd w:id="60"/>
      <w:bookmarkEnd w:id="61"/>
      <w:bookmarkEnd w:id="62"/>
    </w:p>
    <w:p w14:paraId="1E4136EB" w14:textId="6645D7C7" w:rsidR="00926D5A" w:rsidRPr="00926D5A" w:rsidRDefault="00926D5A" w:rsidP="00926D5A">
      <w:pPr>
        <w:pStyle w:val="Caption"/>
        <w:rPr>
          <w:i w:val="0"/>
          <w:iCs w:val="0"/>
          <w:color w:val="000000" w:themeColor="text1"/>
          <w:sz w:val="20"/>
          <w:szCs w:val="20"/>
        </w:rPr>
      </w:pPr>
      <w:r w:rsidRPr="00926D5A">
        <w:rPr>
          <w:i w:val="0"/>
          <w:iCs w:val="0"/>
          <w:color w:val="000000" w:themeColor="text1"/>
          <w:sz w:val="20"/>
          <w:szCs w:val="20"/>
        </w:rPr>
        <w:t>Travelling alone was the most common travel party type for travellers with accessible needs (accounting for 28%).</w:t>
      </w:r>
      <w:r>
        <w:rPr>
          <w:i w:val="0"/>
          <w:iCs w:val="0"/>
          <w:color w:val="000000" w:themeColor="text1"/>
          <w:sz w:val="20"/>
          <w:szCs w:val="20"/>
        </w:rPr>
        <w:t xml:space="preserve"> </w:t>
      </w:r>
      <w:r w:rsidRPr="00926D5A">
        <w:rPr>
          <w:i w:val="0"/>
          <w:iCs w:val="0"/>
          <w:color w:val="000000" w:themeColor="text1"/>
          <w:sz w:val="20"/>
          <w:szCs w:val="20"/>
        </w:rPr>
        <w:t>However, compared with other travellers, travellers with accessible needs were less likely to travel alone (28% vs 36%) but more likely to travel with friends and/or relatives (25% vs 18%) or with a family group (parents and children, 16% vs 14%).</w:t>
      </w:r>
    </w:p>
    <w:p w14:paraId="7EA9276E" w14:textId="77777777" w:rsidR="00926D5A" w:rsidRDefault="00926D5A" w:rsidP="00926D5A">
      <w:pPr>
        <w:pStyle w:val="Caption"/>
        <w:rPr>
          <w:i w:val="0"/>
          <w:iCs w:val="0"/>
          <w:color w:val="000000" w:themeColor="text1"/>
          <w:sz w:val="20"/>
          <w:szCs w:val="20"/>
        </w:rPr>
      </w:pPr>
      <w:r w:rsidRPr="00926D5A">
        <w:rPr>
          <w:i w:val="0"/>
          <w:iCs w:val="0"/>
          <w:color w:val="000000" w:themeColor="text1"/>
          <w:sz w:val="20"/>
          <w:szCs w:val="20"/>
        </w:rPr>
        <w:t xml:space="preserve">The second and third most common travel party types were travelling with friends and/or relatives and adult couple (both with 25%). </w:t>
      </w:r>
    </w:p>
    <w:p w14:paraId="1DA5BCEA" w14:textId="5FCAB5B1" w:rsidR="00C32AF4" w:rsidRDefault="003406C7" w:rsidP="00926D5A">
      <w:pPr>
        <w:pStyle w:val="Caption"/>
        <w:rPr>
          <w:bCs/>
          <w:sz w:val="28"/>
          <w:szCs w:val="32"/>
        </w:rPr>
      </w:pPr>
      <w:r>
        <w:t xml:space="preserve">Figure </w:t>
      </w:r>
      <w:r>
        <w:fldChar w:fldCharType="begin"/>
      </w:r>
      <w:r>
        <w:instrText xml:space="preserve"> SEQ Figure \* ARABIC </w:instrText>
      </w:r>
      <w:r>
        <w:fldChar w:fldCharType="separate"/>
      </w:r>
      <w:r w:rsidR="00B95227">
        <w:rPr>
          <w:noProof/>
        </w:rPr>
        <w:t>11</w:t>
      </w:r>
      <w:r>
        <w:fldChar w:fldCharType="end"/>
      </w:r>
      <w:r>
        <w:t xml:space="preserve">: </w:t>
      </w:r>
      <w:r w:rsidRPr="003406C7">
        <w:t xml:space="preserve">Travel party for trips for with accessible needs vs other travellers (% of trips) </w:t>
      </w:r>
      <w:bookmarkStart w:id="63" w:name="_Toc202255483"/>
      <w:r w:rsidR="007E59A2">
        <w:rPr>
          <w:noProof/>
        </w:rPr>
        <w:drawing>
          <wp:inline distT="0" distB="0" distL="0" distR="0" wp14:anchorId="3ED47DF1" wp14:editId="23E86DA1">
            <wp:extent cx="6329680" cy="3961130"/>
            <wp:effectExtent l="0" t="0" r="0" b="1270"/>
            <wp:docPr id="1619590320" name="Picture 1" descr="Clustered bar chart outlining the travel parties by travellers with accessible needs vs other travellers.&#10;Travellers with accessible needs are more likely to travel with companions such as friends and or relatives than other travelle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90320" name="Picture 1" descr="Clustered bar chart outlining the travel parties by travellers with accessible needs vs other travellers.&#10;Travellers with accessible needs are more likely to travel with companions such as friends and or relatives than other travellers &#10;"/>
                    <pic:cNvPicPr/>
                  </pic:nvPicPr>
                  <pic:blipFill>
                    <a:blip r:embed="rId28"/>
                    <a:stretch>
                      <a:fillRect/>
                    </a:stretch>
                  </pic:blipFill>
                  <pic:spPr>
                    <a:xfrm>
                      <a:off x="0" y="0"/>
                      <a:ext cx="6329680" cy="3961130"/>
                    </a:xfrm>
                    <a:prstGeom prst="rect">
                      <a:avLst/>
                    </a:prstGeom>
                  </pic:spPr>
                </pic:pic>
              </a:graphicData>
            </a:graphic>
          </wp:inline>
        </w:drawing>
      </w:r>
    </w:p>
    <w:p w14:paraId="2FF15C23" w14:textId="13B18E1D" w:rsidR="00A26D63" w:rsidRDefault="00A26D63" w:rsidP="00A26D63">
      <w:pPr>
        <w:pStyle w:val="Heading3"/>
      </w:pPr>
      <w:bookmarkStart w:id="64" w:name="_Toc204158187"/>
      <w:bookmarkStart w:id="65" w:name="_Toc204158243"/>
      <w:bookmarkStart w:id="66" w:name="_Toc204158469"/>
      <w:bookmarkStart w:id="67" w:name="_Toc204158639"/>
      <w:r>
        <w:t>Trip activities</w:t>
      </w:r>
      <w:bookmarkEnd w:id="63"/>
      <w:bookmarkEnd w:id="64"/>
      <w:bookmarkEnd w:id="65"/>
      <w:bookmarkEnd w:id="66"/>
      <w:bookmarkEnd w:id="67"/>
      <w:r>
        <w:t xml:space="preserve"> </w:t>
      </w:r>
    </w:p>
    <w:p w14:paraId="3DC5BB6A" w14:textId="27A12178" w:rsidR="00B760C3" w:rsidRPr="00B760C3" w:rsidRDefault="00A745A0" w:rsidP="00A745A0">
      <w:r>
        <w:t xml:space="preserve">Activities while travelling largely align with other travellers with eating, socialising and shopping. </w:t>
      </w:r>
      <w:r w:rsidR="00B760C3" w:rsidRPr="00B760C3">
        <w:t>All traveller segments were most likely to have eating out/ dining at a restaurant as their top activity, with going shopping for pleasure and going to the beach featuring in the top 5 activities for all. For all travellers, visiting friends and family was the 2</w:t>
      </w:r>
      <w:r w:rsidR="00B760C3" w:rsidRPr="00B760C3">
        <w:rPr>
          <w:vertAlign w:val="superscript"/>
        </w:rPr>
        <w:t>nd</w:t>
      </w:r>
      <w:r w:rsidR="00B760C3" w:rsidRPr="00B760C3">
        <w:t xml:space="preserve"> most common activity for holiday and business travel. </w:t>
      </w:r>
    </w:p>
    <w:p w14:paraId="65B3A7C0" w14:textId="77777777" w:rsidR="00B760C3" w:rsidRPr="00B760C3" w:rsidRDefault="00B760C3" w:rsidP="00B760C3">
      <w:r w:rsidRPr="00B760C3">
        <w:t xml:space="preserve">Taking in Australia’s beautiful natural landscape was also a key driver of activity with going to the beach, sightseeing, national parks, bushwalking, botanical gardens, and fishing being amongst the top 15 activities.  </w:t>
      </w:r>
    </w:p>
    <w:p w14:paraId="541C0D28" w14:textId="37086BEE" w:rsidR="003769DB" w:rsidRDefault="0062754B" w:rsidP="003769DB">
      <w:pPr>
        <w:pStyle w:val="Caption"/>
      </w:pPr>
      <w:r>
        <w:t xml:space="preserve">Figure </w:t>
      </w:r>
      <w:r>
        <w:fldChar w:fldCharType="begin"/>
      </w:r>
      <w:r>
        <w:instrText xml:space="preserve"> SEQ Figure \* ARABIC </w:instrText>
      </w:r>
      <w:r>
        <w:fldChar w:fldCharType="separate"/>
      </w:r>
      <w:r w:rsidR="00B95227">
        <w:rPr>
          <w:noProof/>
        </w:rPr>
        <w:t>12</w:t>
      </w:r>
      <w:r>
        <w:fldChar w:fldCharType="end"/>
      </w:r>
      <w:r>
        <w:t xml:space="preserve">: Top 15 trip activities of travellers (% of all trips involving activity) </w:t>
      </w:r>
    </w:p>
    <w:p w14:paraId="3337B1EE" w14:textId="150DB4AA" w:rsidR="003769DB" w:rsidRPr="003769DB" w:rsidRDefault="003769DB" w:rsidP="003769DB"/>
    <w:p w14:paraId="5B21D910" w14:textId="35042CA6" w:rsidR="00C32AF4" w:rsidRDefault="00B760C3" w:rsidP="003769DB">
      <w:pPr>
        <w:pStyle w:val="Caption"/>
        <w:rPr>
          <w:bCs/>
          <w:sz w:val="28"/>
          <w:szCs w:val="32"/>
        </w:rPr>
      </w:pPr>
      <w:r>
        <w:lastRenderedPageBreak/>
        <w:t xml:space="preserve"> </w:t>
      </w:r>
      <w:bookmarkStart w:id="68" w:name="_Toc202255484"/>
      <w:r w:rsidR="003769DB">
        <w:rPr>
          <w:noProof/>
        </w:rPr>
        <w:drawing>
          <wp:inline distT="0" distB="0" distL="0" distR="0" wp14:anchorId="58FB44A7" wp14:editId="251C3702">
            <wp:extent cx="6329680" cy="5184140"/>
            <wp:effectExtent l="0" t="0" r="0" b="0"/>
            <wp:docPr id="180222697" name="Picture 1" descr="Clustered column graph outlining the top 15 activities that are likely to be done by travellers with accessible needs vs other travellers. Eating out/dining is the number 1 for all travellers, followed by visiting friends and fami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2697" name="Picture 1" descr="Clustered column graph outlining the top 15 activities that are likely to be done by travellers with accessible needs vs other travellers. Eating out/dining is the number 1 for all travellers, followed by visiting friends and family. "/>
                    <pic:cNvPicPr/>
                  </pic:nvPicPr>
                  <pic:blipFill>
                    <a:blip r:embed="rId29"/>
                    <a:stretch>
                      <a:fillRect/>
                    </a:stretch>
                  </pic:blipFill>
                  <pic:spPr>
                    <a:xfrm>
                      <a:off x="0" y="0"/>
                      <a:ext cx="6329680" cy="5184140"/>
                    </a:xfrm>
                    <a:prstGeom prst="rect">
                      <a:avLst/>
                    </a:prstGeom>
                  </pic:spPr>
                </pic:pic>
              </a:graphicData>
            </a:graphic>
          </wp:inline>
        </w:drawing>
      </w:r>
      <w:r w:rsidR="00C32AF4">
        <w:br w:type="page"/>
      </w:r>
    </w:p>
    <w:p w14:paraId="0A400F62" w14:textId="4E2ACDB1" w:rsidR="00B760C3" w:rsidRPr="00B760C3" w:rsidRDefault="00A26D63" w:rsidP="00A26D63">
      <w:pPr>
        <w:pStyle w:val="Heading3"/>
      </w:pPr>
      <w:bookmarkStart w:id="69" w:name="_Toc204158188"/>
      <w:bookmarkStart w:id="70" w:name="_Toc204158244"/>
      <w:bookmarkStart w:id="71" w:name="_Toc204158470"/>
      <w:bookmarkStart w:id="72" w:name="_Toc204158640"/>
      <w:r>
        <w:lastRenderedPageBreak/>
        <w:t>Trip transport</w:t>
      </w:r>
      <w:bookmarkEnd w:id="68"/>
      <w:bookmarkEnd w:id="69"/>
      <w:bookmarkEnd w:id="70"/>
      <w:bookmarkEnd w:id="71"/>
      <w:bookmarkEnd w:id="72"/>
      <w:r>
        <w:t xml:space="preserve"> </w:t>
      </w:r>
    </w:p>
    <w:p w14:paraId="3F9A5C59" w14:textId="65A1D4A0" w:rsidR="00BC698B" w:rsidRPr="00BC698B" w:rsidRDefault="00BC698B" w:rsidP="00BC698B">
      <w:r w:rsidRPr="00BC698B">
        <w:t>The most common mode of transport to a stopover destination for all traveller types was self-drive vehicle (i.e. a vehicle driven by the traveller or one of their parties).</w:t>
      </w:r>
      <w:r>
        <w:t xml:space="preserve"> </w:t>
      </w:r>
      <w:r w:rsidRPr="00BC698B">
        <w:t>Travel by air was the second most common mode of transport for domestic overnight and international visitors. This was especially common for international visitors (as most would arrive at their first stopover by air transport from overseas).</w:t>
      </w:r>
    </w:p>
    <w:p w14:paraId="60341CE6" w14:textId="19E79DA1" w:rsidR="00BC698B" w:rsidRPr="00BC698B" w:rsidRDefault="00BC698B" w:rsidP="00BC698B">
      <w:r w:rsidRPr="00BC698B">
        <w:t>Very few day trip travellers used air transport. Travellers with accessible needs used train, bus/coach or water transport to travel more frequently than other travellers.</w:t>
      </w:r>
    </w:p>
    <w:p w14:paraId="066489D0" w14:textId="49F3810A" w:rsidR="00C51483" w:rsidRDefault="00F61FFB" w:rsidP="00C51483">
      <w:pPr>
        <w:pStyle w:val="Caption"/>
      </w:pPr>
      <w:r>
        <w:t xml:space="preserve">Figure </w:t>
      </w:r>
      <w:r>
        <w:fldChar w:fldCharType="begin"/>
      </w:r>
      <w:r>
        <w:instrText xml:space="preserve"> SEQ Figure \* ARABIC </w:instrText>
      </w:r>
      <w:r>
        <w:fldChar w:fldCharType="separate"/>
      </w:r>
      <w:r w:rsidR="00B95227">
        <w:rPr>
          <w:noProof/>
        </w:rPr>
        <w:t>13</w:t>
      </w:r>
      <w:r>
        <w:fldChar w:fldCharType="end"/>
      </w:r>
      <w:r>
        <w:t xml:space="preserve">: </w:t>
      </w:r>
      <w:r w:rsidRPr="00F61FFB">
        <w:t>Transport used by travellers to travel to stopover destination (%)</w:t>
      </w:r>
    </w:p>
    <w:p w14:paraId="7382F5E9" w14:textId="57FCA394" w:rsidR="00C51483" w:rsidRPr="00C51483" w:rsidRDefault="00C51483" w:rsidP="00C51483"/>
    <w:p w14:paraId="3C7C23BC" w14:textId="53752732" w:rsidR="002A78D0" w:rsidRDefault="00C51483" w:rsidP="003406C7">
      <w:pPr>
        <w:pStyle w:val="Caption"/>
        <w:rPr>
          <w:lang w:val="pt-PT"/>
        </w:rPr>
      </w:pPr>
      <w:r>
        <w:rPr>
          <w:noProof/>
        </w:rPr>
        <w:drawing>
          <wp:inline distT="0" distB="0" distL="0" distR="0" wp14:anchorId="506D94C3" wp14:editId="3E2AF601">
            <wp:extent cx="6329680" cy="5259754"/>
            <wp:effectExtent l="0" t="0" r="0" b="0"/>
            <wp:docPr id="1370917175" name="Picture 1" descr="Clustered column chart for International travellers outlining travellers with accessible needs drive themselves to stopover destination 55%, vs other travellers 50%, which is the highest mode of transport.&#10;Domestic overnight trips travellers with accessible needs drive themselves to stopover destination 78%, vs other travellers 73%, which is the highest mode of transport.&#10;Domestic day trip travellers travellers with accessible needs drive themselves to stopover destination 92%, vs other travellers 94%, which is the highest mode of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917175" name="Picture 1" descr="Clustered column chart for International travellers outlining travellers with accessible needs drive themselves to stopover destination 55%, vs other travellers 50%, which is the highest mode of transport.&#10;Domestic overnight trips travellers with accessible needs drive themselves to stopover destination 78%, vs other travellers 73%, which is the highest mode of transport.&#10;Domestic day trip travellers travellers with accessible needs drive themselves to stopover destination 92%, vs other travellers 94%, which is the highest mode of transport."/>
                    <pic:cNvPicPr/>
                  </pic:nvPicPr>
                  <pic:blipFill rotWithShape="1">
                    <a:blip r:embed="rId30"/>
                    <a:srcRect b="9653"/>
                    <a:stretch>
                      <a:fillRect/>
                    </a:stretch>
                  </pic:blipFill>
                  <pic:spPr bwMode="auto">
                    <a:xfrm>
                      <a:off x="0" y="0"/>
                      <a:ext cx="6329680" cy="5259754"/>
                    </a:xfrm>
                    <a:prstGeom prst="rect">
                      <a:avLst/>
                    </a:prstGeom>
                    <a:ln>
                      <a:noFill/>
                    </a:ln>
                    <a:extLst>
                      <a:ext uri="{53640926-AAD7-44D8-BBD7-CCE9431645EC}">
                        <a14:shadowObscured xmlns:a14="http://schemas.microsoft.com/office/drawing/2010/main"/>
                      </a:ext>
                    </a:extLst>
                  </pic:spPr>
                </pic:pic>
              </a:graphicData>
            </a:graphic>
          </wp:inline>
        </w:drawing>
      </w:r>
    </w:p>
    <w:p w14:paraId="6D5FD542" w14:textId="77777777" w:rsidR="002A0005" w:rsidRPr="002A0005" w:rsidRDefault="002A0005" w:rsidP="002A0005">
      <w:pPr>
        <w:pStyle w:val="Caption"/>
        <w:numPr>
          <w:ilvl w:val="0"/>
          <w:numId w:val="30"/>
        </w:numPr>
        <w:spacing w:after="0"/>
        <w:ind w:left="357" w:firstLine="0"/>
      </w:pPr>
      <w:r w:rsidRPr="002A0005">
        <w:t>Self-drive vehicle refers to any vehicle driven by the traveller or a member of their party.</w:t>
      </w:r>
    </w:p>
    <w:p w14:paraId="10854927" w14:textId="77777777" w:rsidR="002A0005" w:rsidRPr="002A0005" w:rsidRDefault="002A0005" w:rsidP="002A0005">
      <w:pPr>
        <w:pStyle w:val="Caption"/>
        <w:numPr>
          <w:ilvl w:val="0"/>
          <w:numId w:val="30"/>
        </w:numPr>
        <w:spacing w:after="0"/>
        <w:ind w:left="357" w:firstLine="0"/>
      </w:pPr>
      <w:r w:rsidRPr="002A0005">
        <w:t>‘Other transport’ includes ride share, taxi, walking, cycling etc.</w:t>
      </w:r>
    </w:p>
    <w:p w14:paraId="64542087" w14:textId="77777777" w:rsidR="002A0005" w:rsidRPr="002A0005" w:rsidRDefault="002A0005" w:rsidP="002A0005">
      <w:pPr>
        <w:pStyle w:val="Caption"/>
        <w:numPr>
          <w:ilvl w:val="0"/>
          <w:numId w:val="30"/>
        </w:numPr>
        <w:spacing w:after="0"/>
        <w:ind w:left="357" w:firstLine="0"/>
      </w:pPr>
      <w:r w:rsidRPr="002A0005">
        <w:t xml:space="preserve">Figures exceed 100% because travellers may use more than one transport mode </w:t>
      </w:r>
    </w:p>
    <w:p w14:paraId="01F9D0B4" w14:textId="77777777" w:rsidR="002A0005" w:rsidRDefault="002A0005" w:rsidP="003406C7">
      <w:pPr>
        <w:pStyle w:val="Caption"/>
        <w:rPr>
          <w:lang w:val="pt-PT"/>
        </w:rPr>
      </w:pPr>
    </w:p>
    <w:p w14:paraId="68640FAD" w14:textId="6D61F271" w:rsidR="00A440AE" w:rsidRPr="00A440AE" w:rsidRDefault="00A440AE" w:rsidP="00A440AE">
      <w:r w:rsidRPr="00A440AE">
        <w:t xml:space="preserve">Most travellers (77%) with accessible needs did not use local transport modes (other than that in which they arrived at their stopover). This was higher than figure for other travellers (71%). This </w:t>
      </w:r>
      <w:r w:rsidRPr="00A440AE">
        <w:lastRenderedPageBreak/>
        <w:t>may indicate room for improvement in accessibility of local transport options.</w:t>
      </w:r>
      <w:r>
        <w:t xml:space="preserve"> </w:t>
      </w:r>
      <w:r w:rsidRPr="00A440AE">
        <w:t>Of the travellers with accessible needs who did use local transport, the most common modes were:</w:t>
      </w:r>
    </w:p>
    <w:p w14:paraId="61BA508A" w14:textId="49F973C3" w:rsidR="00A440AE" w:rsidRPr="00A440AE" w:rsidRDefault="00A440AE" w:rsidP="00A440AE">
      <w:pPr>
        <w:pStyle w:val="ListParagraph"/>
        <w:numPr>
          <w:ilvl w:val="0"/>
          <w:numId w:val="32"/>
        </w:numPr>
      </w:pPr>
      <w:r w:rsidRPr="00A440AE">
        <w:t>ride share service (9%)</w:t>
      </w:r>
      <w:r>
        <w:t>,</w:t>
      </w:r>
    </w:p>
    <w:p w14:paraId="43B09F2A" w14:textId="30D77128" w:rsidR="00A440AE" w:rsidRPr="00A440AE" w:rsidRDefault="00A440AE" w:rsidP="00A440AE">
      <w:pPr>
        <w:pStyle w:val="ListParagraph"/>
        <w:numPr>
          <w:ilvl w:val="0"/>
          <w:numId w:val="32"/>
        </w:numPr>
      </w:pPr>
      <w:r>
        <w:t>t</w:t>
      </w:r>
      <w:r w:rsidRPr="00A440AE">
        <w:t>rain (7%)</w:t>
      </w:r>
      <w:r>
        <w:t>,</w:t>
      </w:r>
      <w:r w:rsidR="001B6FEC">
        <w:t xml:space="preserve"> and</w:t>
      </w:r>
    </w:p>
    <w:p w14:paraId="69D6F0B6" w14:textId="541CC899" w:rsidR="00A440AE" w:rsidRPr="00A440AE" w:rsidRDefault="00A440AE" w:rsidP="00A440AE">
      <w:pPr>
        <w:pStyle w:val="ListParagraph"/>
        <w:numPr>
          <w:ilvl w:val="0"/>
          <w:numId w:val="32"/>
        </w:numPr>
      </w:pPr>
      <w:r>
        <w:t>b</w:t>
      </w:r>
      <w:r w:rsidRPr="00A440AE">
        <w:t>us (6%)</w:t>
      </w:r>
      <w:r w:rsidR="001B6FEC">
        <w:t>.</w:t>
      </w:r>
    </w:p>
    <w:p w14:paraId="75DD69E1" w14:textId="77777777" w:rsidR="00A440AE" w:rsidRDefault="00A440AE" w:rsidP="00A440AE">
      <w:r w:rsidRPr="00A440AE">
        <w:t>Other travellers tended to use the same forms of local transport but were more likely than travellers with accessible needs to use each local transport mode.</w:t>
      </w:r>
    </w:p>
    <w:p w14:paraId="039ABF1E" w14:textId="0D3365B3" w:rsidR="000141E7" w:rsidRDefault="00B95227" w:rsidP="006046F0">
      <w:pPr>
        <w:pStyle w:val="Caption"/>
        <w:rPr>
          <w:rFonts w:eastAsia="SimSun" w:cs="Times New Roman"/>
          <w:bCs/>
          <w:color w:val="441D4A" w:themeColor="accent1" w:themeShade="80"/>
          <w:sz w:val="32"/>
          <w:szCs w:val="26"/>
          <w:lang w:val="pt-PT" w:eastAsia="zh-CN"/>
        </w:rPr>
      </w:pPr>
      <w:r>
        <w:t xml:space="preserve">Figure </w:t>
      </w:r>
      <w:r>
        <w:fldChar w:fldCharType="begin"/>
      </w:r>
      <w:r>
        <w:instrText xml:space="preserve"> SEQ Figure \* ARABIC </w:instrText>
      </w:r>
      <w:r>
        <w:fldChar w:fldCharType="separate"/>
      </w:r>
      <w:r>
        <w:rPr>
          <w:noProof/>
        </w:rPr>
        <w:t>14</w:t>
      </w:r>
      <w:r>
        <w:fldChar w:fldCharType="end"/>
      </w:r>
      <w:r>
        <w:t xml:space="preserve">: </w:t>
      </w:r>
      <w:r w:rsidR="00B556F8">
        <w:t>Local transport used at stopover (% of trips)</w:t>
      </w:r>
      <w:r w:rsidR="006046F0">
        <w:rPr>
          <w:noProof/>
        </w:rPr>
        <w:drawing>
          <wp:inline distT="0" distB="0" distL="0" distR="0" wp14:anchorId="468654A3" wp14:editId="59F7E2E4">
            <wp:extent cx="6329680" cy="4293870"/>
            <wp:effectExtent l="0" t="0" r="0" b="0"/>
            <wp:docPr id="1082184572" name="Picture 1" descr="Clustered column graph for the local transport used at stopovers. All travellers are not very likely to use local transport, but those that do use ride share services, trains, and bus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84572" name="Picture 1" descr="Clustered column graph for the local transport used at stopovers. All travellers are not very likely to use local transport, but those that do use ride share services, trains, and buses. &#10;"/>
                    <pic:cNvPicPr/>
                  </pic:nvPicPr>
                  <pic:blipFill>
                    <a:blip r:embed="rId31"/>
                    <a:stretch>
                      <a:fillRect/>
                    </a:stretch>
                  </pic:blipFill>
                  <pic:spPr>
                    <a:xfrm>
                      <a:off x="0" y="0"/>
                      <a:ext cx="6329680" cy="4293870"/>
                    </a:xfrm>
                    <a:prstGeom prst="rect">
                      <a:avLst/>
                    </a:prstGeom>
                  </pic:spPr>
                </pic:pic>
              </a:graphicData>
            </a:graphic>
          </wp:inline>
        </w:drawing>
      </w:r>
    </w:p>
    <w:p w14:paraId="5FF812C0" w14:textId="77777777" w:rsidR="00341CA7" w:rsidRDefault="00341CA7">
      <w:pPr>
        <w:spacing w:before="0" w:after="160" w:line="259" w:lineRule="auto"/>
        <w:rPr>
          <w:rFonts w:eastAsia="SimSun" w:cs="Times New Roman"/>
          <w:bCs/>
          <w:color w:val="441D4A" w:themeColor="accent1" w:themeShade="80"/>
          <w:sz w:val="32"/>
          <w:szCs w:val="26"/>
          <w:lang w:val="pt-PT" w:eastAsia="zh-CN"/>
        </w:rPr>
      </w:pPr>
      <w:r>
        <w:rPr>
          <w:lang w:val="pt-PT"/>
        </w:rPr>
        <w:br w:type="page"/>
      </w:r>
    </w:p>
    <w:p w14:paraId="4F8BC3E1" w14:textId="78BC0426" w:rsidR="00FE2458" w:rsidRDefault="001B6FEC" w:rsidP="001B6FEC">
      <w:pPr>
        <w:pStyle w:val="Heading2"/>
        <w:rPr>
          <w:lang w:val="pt-PT"/>
        </w:rPr>
      </w:pPr>
      <w:bookmarkStart w:id="73" w:name="_Toc204158641"/>
      <w:r>
        <w:rPr>
          <w:lang w:val="pt-PT"/>
        </w:rPr>
        <w:lastRenderedPageBreak/>
        <w:t>Accessible tourism around the world</w:t>
      </w:r>
      <w:bookmarkEnd w:id="73"/>
    </w:p>
    <w:p w14:paraId="151250D1" w14:textId="77777777" w:rsidR="00FE2458" w:rsidRPr="00FE2458" w:rsidRDefault="00FE2458" w:rsidP="00FE2458">
      <w:r w:rsidRPr="00FE2458">
        <w:t>UN Tourism positions accessible tourism as a business opportunity for destinations and companies</w:t>
      </w:r>
      <w:r>
        <w:t xml:space="preserve">. </w:t>
      </w:r>
      <w:r w:rsidRPr="00FE2458">
        <w:t>The opportunity to increase accessibility and cater to a large and growing market may position businesses to capitalise on the 1.3 billion people with disabilities internationally</w:t>
      </w:r>
    </w:p>
    <w:p w14:paraId="7AB32F79" w14:textId="77777777" w:rsidR="00FE2458" w:rsidRPr="00FE2458" w:rsidRDefault="00FE2458" w:rsidP="00FE2458">
      <w:r w:rsidRPr="00FE2458">
        <w:t xml:space="preserve">Looking at tourism from multiple perspectives will allow for authentic experiences to enhance the tourism offer including: </w:t>
      </w:r>
    </w:p>
    <w:p w14:paraId="47313516" w14:textId="77777777" w:rsidR="00FE2458" w:rsidRPr="00FE2458" w:rsidRDefault="00FE2458" w:rsidP="00FE2458">
      <w:pPr>
        <w:numPr>
          <w:ilvl w:val="0"/>
          <w:numId w:val="33"/>
        </w:numPr>
        <w:spacing w:before="0" w:after="0" w:line="240" w:lineRule="auto"/>
        <w:ind w:left="714" w:hanging="357"/>
      </w:pPr>
      <w:r w:rsidRPr="00FE2458">
        <w:t>Managing natural resources</w:t>
      </w:r>
    </w:p>
    <w:p w14:paraId="45CE57D8" w14:textId="77777777" w:rsidR="00FE2458" w:rsidRPr="00FE2458" w:rsidRDefault="00FE2458" w:rsidP="00FE2458">
      <w:pPr>
        <w:numPr>
          <w:ilvl w:val="0"/>
          <w:numId w:val="33"/>
        </w:numPr>
        <w:spacing w:before="0" w:after="0" w:line="240" w:lineRule="auto"/>
        <w:ind w:left="714" w:hanging="357"/>
      </w:pPr>
      <w:r w:rsidRPr="00FE2458">
        <w:t xml:space="preserve">Cultural tourism </w:t>
      </w:r>
    </w:p>
    <w:p w14:paraId="180CE4EB" w14:textId="77777777" w:rsidR="00FE2458" w:rsidRPr="00FE2458" w:rsidRDefault="00FE2458" w:rsidP="00FE2458">
      <w:pPr>
        <w:numPr>
          <w:ilvl w:val="0"/>
          <w:numId w:val="33"/>
        </w:numPr>
        <w:spacing w:before="0" w:after="0" w:line="240" w:lineRule="auto"/>
        <w:ind w:left="714" w:hanging="357"/>
      </w:pPr>
      <w:r w:rsidRPr="00FE2458">
        <w:t xml:space="preserve">Accommodation, food and beverage </w:t>
      </w:r>
    </w:p>
    <w:p w14:paraId="41B6D0FB" w14:textId="77777777" w:rsidR="00FE2458" w:rsidRPr="00FE2458" w:rsidRDefault="00FE2458" w:rsidP="00FE2458">
      <w:pPr>
        <w:numPr>
          <w:ilvl w:val="0"/>
          <w:numId w:val="33"/>
        </w:numPr>
        <w:spacing w:before="0" w:after="0" w:line="240" w:lineRule="auto"/>
        <w:ind w:left="714" w:hanging="357"/>
      </w:pPr>
      <w:r w:rsidRPr="00FE2458">
        <w:t>Government and institutions</w:t>
      </w:r>
    </w:p>
    <w:p w14:paraId="1D7BFD36" w14:textId="77777777" w:rsidR="00FE2458" w:rsidRPr="00FE2458" w:rsidRDefault="00FE2458" w:rsidP="00FE2458">
      <w:pPr>
        <w:numPr>
          <w:ilvl w:val="0"/>
          <w:numId w:val="33"/>
        </w:numPr>
        <w:spacing w:before="0" w:after="0" w:line="240" w:lineRule="auto"/>
        <w:ind w:left="714" w:hanging="357"/>
      </w:pPr>
      <w:r w:rsidRPr="00FE2458">
        <w:t>Accessibility standards</w:t>
      </w:r>
    </w:p>
    <w:p w14:paraId="38ADB3CB" w14:textId="77777777" w:rsidR="00FE2458" w:rsidRPr="00FE2458" w:rsidRDefault="00FE2458" w:rsidP="00FE2458">
      <w:pPr>
        <w:numPr>
          <w:ilvl w:val="0"/>
          <w:numId w:val="33"/>
        </w:numPr>
        <w:spacing w:before="0" w:after="0" w:line="240" w:lineRule="auto"/>
        <w:ind w:left="714" w:hanging="357"/>
      </w:pPr>
      <w:r w:rsidRPr="00FE2458">
        <w:t>Collaboration for accessible tourism including conferences and forums</w:t>
      </w:r>
    </w:p>
    <w:p w14:paraId="7AD74EE8" w14:textId="77777777" w:rsidR="00FE2458" w:rsidRPr="00FE2458" w:rsidRDefault="00FE2458" w:rsidP="00FE2458">
      <w:pPr>
        <w:numPr>
          <w:ilvl w:val="0"/>
          <w:numId w:val="33"/>
        </w:numPr>
        <w:spacing w:before="0" w:after="0" w:line="240" w:lineRule="auto"/>
        <w:ind w:left="714" w:hanging="357"/>
      </w:pPr>
      <w:r w:rsidRPr="00FE2458">
        <w:t xml:space="preserve">Transportation </w:t>
      </w:r>
    </w:p>
    <w:p w14:paraId="30FB0428" w14:textId="77777777" w:rsidR="00FE2458" w:rsidRPr="00FE2458" w:rsidRDefault="00FE2458" w:rsidP="00FE2458">
      <w:pPr>
        <w:numPr>
          <w:ilvl w:val="0"/>
          <w:numId w:val="33"/>
        </w:numPr>
        <w:spacing w:before="0" w:after="0" w:line="240" w:lineRule="auto"/>
        <w:ind w:left="714" w:hanging="357"/>
      </w:pPr>
      <w:r w:rsidRPr="00FE2458">
        <w:t xml:space="preserve">Tour operators, travel agencies and agents </w:t>
      </w:r>
    </w:p>
    <w:p w14:paraId="28DB3F56" w14:textId="77777777" w:rsidR="00FE2458" w:rsidRPr="00FE2458" w:rsidRDefault="00FE2458" w:rsidP="00FE2458">
      <w:pPr>
        <w:numPr>
          <w:ilvl w:val="0"/>
          <w:numId w:val="33"/>
        </w:numPr>
        <w:spacing w:before="0" w:after="0" w:line="240" w:lineRule="auto"/>
        <w:ind w:left="714" w:hanging="357"/>
      </w:pPr>
      <w:r w:rsidRPr="00FE2458">
        <w:t xml:space="preserve">Employment </w:t>
      </w:r>
    </w:p>
    <w:p w14:paraId="265A6452" w14:textId="77777777" w:rsidR="009F4089" w:rsidRDefault="009F4089" w:rsidP="005F5BC8"/>
    <w:p w14:paraId="634E0899" w14:textId="28F3A700" w:rsidR="005F5BC8" w:rsidRPr="005F5BC8" w:rsidRDefault="005F5BC8" w:rsidP="005F5BC8">
      <w:r w:rsidRPr="005F5BC8">
        <w:t>Did you know...?</w:t>
      </w:r>
    </w:p>
    <w:p w14:paraId="56170E45" w14:textId="346E24CD" w:rsidR="005F5BC8" w:rsidRDefault="005F5BC8" w:rsidP="005F5BC8">
      <w:pPr>
        <w:ind w:left="357"/>
      </w:pPr>
      <w:r w:rsidRPr="005F5BC8">
        <w:t>Almost 50% of people aged more than 60 have a disability (UNDESA, 2022) </w:t>
      </w:r>
      <w:r>
        <w:br/>
      </w:r>
      <w:r w:rsidRPr="005F5BC8">
        <w:t>Travellers with disabilities tend to travel accompanied by 2 to 3 travel companions (Bowtell, 2015)</w:t>
      </w:r>
    </w:p>
    <w:p w14:paraId="108D8328" w14:textId="21E55643" w:rsidR="005F5BC8" w:rsidRDefault="003C7E98" w:rsidP="00A26D63">
      <w:pPr>
        <w:pStyle w:val="Heading3"/>
      </w:pPr>
      <w:bookmarkStart w:id="74" w:name="_Toc202255486"/>
      <w:bookmarkStart w:id="75" w:name="_Toc204158190"/>
      <w:bookmarkStart w:id="76" w:name="_Toc204158246"/>
      <w:bookmarkStart w:id="77" w:name="_Toc204158472"/>
      <w:bookmarkStart w:id="78" w:name="_Toc204158642"/>
      <w:r w:rsidRPr="003C7E98">
        <w:t xml:space="preserve">Australia is seen as accessible compared to other </w:t>
      </w:r>
      <w:bookmarkEnd w:id="74"/>
      <w:r w:rsidR="00DC107D">
        <w:t>destinations</w:t>
      </w:r>
      <w:bookmarkEnd w:id="75"/>
      <w:bookmarkEnd w:id="76"/>
      <w:bookmarkEnd w:id="77"/>
      <w:bookmarkEnd w:id="78"/>
    </w:p>
    <w:p w14:paraId="274D9AFB" w14:textId="023CDF61" w:rsidR="003C7E98" w:rsidRPr="003C7E98" w:rsidRDefault="003B6B7D" w:rsidP="003B6B7D">
      <w:r>
        <w:t xml:space="preserve">According to Tourism Australia’s Consumer Demand Project 2024, Australia achieved the highest “NET Accessible rating” of the 15 countries surveyed. </w:t>
      </w:r>
      <w:r w:rsidR="003C7E98" w:rsidRPr="003C7E98">
        <w:t>According to Tourism Australia data from 202</w:t>
      </w:r>
      <w:r w:rsidR="00465406">
        <w:t>4</w:t>
      </w:r>
      <w:r w:rsidR="003C7E98" w:rsidRPr="003C7E98">
        <w:t xml:space="preserve">, Australia was perceived as “Net Accessible” (i.e. either “accessible” or “extremely accessible”) by 81% of survey respondents. This is ahead of Japan (80%), Canada and New Zealand (both at 79%). </w:t>
      </w:r>
    </w:p>
    <w:p w14:paraId="673F4D13" w14:textId="0031ADE2" w:rsidR="003C7E98" w:rsidRPr="003C7E98" w:rsidRDefault="003C7E98" w:rsidP="003C7E98">
      <w:r w:rsidRPr="003C7E98">
        <w:t xml:space="preserve">The impact of these perceptions can form the basis of travel destinations for both domestic and international travel. This perception is underpinned by individual tourism operators creating experiences that can be enjoyed by all visitors, no matter their needs. </w:t>
      </w:r>
    </w:p>
    <w:p w14:paraId="027CAD18" w14:textId="32F57ECB" w:rsidR="003C7E98" w:rsidRDefault="003C7E98" w:rsidP="003C7E98">
      <w:r w:rsidRPr="003C7E98">
        <w:t xml:space="preserve">Equally, the higher the perception of Australia as an accessible destination, the more opportunity there is to share experiences with more visitors. </w:t>
      </w:r>
    </w:p>
    <w:p w14:paraId="109B7E32" w14:textId="231233D5" w:rsidR="002078C6" w:rsidRPr="003C7E98" w:rsidRDefault="002078C6" w:rsidP="000141E7">
      <w:pPr>
        <w:pStyle w:val="Caption"/>
      </w:pPr>
      <w:r>
        <w:t xml:space="preserve">Figure </w:t>
      </w:r>
      <w:r>
        <w:fldChar w:fldCharType="begin"/>
      </w:r>
      <w:r>
        <w:instrText xml:space="preserve"> SEQ Figure \* ARABIC </w:instrText>
      </w:r>
      <w:r>
        <w:fldChar w:fldCharType="separate"/>
      </w:r>
      <w:r w:rsidR="00B95227">
        <w:rPr>
          <w:noProof/>
        </w:rPr>
        <w:t>15</w:t>
      </w:r>
      <w:r>
        <w:fldChar w:fldCharType="end"/>
      </w:r>
      <w:r>
        <w:t xml:space="preserve">: </w:t>
      </w:r>
      <w:r w:rsidRPr="00891569">
        <w:t>Travellers’ perception of accessibility by country, April – June 2024 (%)</w:t>
      </w:r>
    </w:p>
    <w:p w14:paraId="2DE03A56" w14:textId="40C159F3" w:rsidR="003C7E98" w:rsidRPr="003C7E98" w:rsidRDefault="00891569" w:rsidP="003C7E98">
      <w:pPr>
        <w:pStyle w:val="Caption"/>
      </w:pPr>
      <w:r w:rsidRPr="00891569">
        <w:rPr>
          <w:noProof/>
        </w:rPr>
        <w:lastRenderedPageBreak/>
        <w:drawing>
          <wp:inline distT="0" distB="0" distL="0" distR="0" wp14:anchorId="6EBD4D9D" wp14:editId="6168F706">
            <wp:extent cx="6329680" cy="4262755"/>
            <wp:effectExtent l="0" t="0" r="0" b="4445"/>
            <wp:docPr id="939635697" name="Chart 1" descr="Stacked column graph outlining traveller perceptions of accessibility by country. Each country is broken into Extremely accessible, accessible, neither, inaccessible, and extremely inaccessible. &#10;Australia scores the highest for Extremely accessible. ">
              <a:extLst xmlns:a="http://schemas.openxmlformats.org/drawingml/2006/main">
                <a:ext uri="{FF2B5EF4-FFF2-40B4-BE49-F238E27FC236}">
                  <a16:creationId xmlns:a16="http://schemas.microsoft.com/office/drawing/2014/main" id="{833274D3-AB0B-E972-ADF4-33369781B4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349A215" w14:textId="12D99A1E" w:rsidR="00242E9A" w:rsidRDefault="009F4089" w:rsidP="009F4089">
      <w:pPr>
        <w:pStyle w:val="Caption"/>
        <w:rPr>
          <w:lang w:val="pt-PT"/>
        </w:rPr>
      </w:pPr>
      <w:r>
        <w:t xml:space="preserve">Table </w:t>
      </w:r>
      <w:r>
        <w:fldChar w:fldCharType="begin"/>
      </w:r>
      <w:r>
        <w:instrText xml:space="preserve"> SEQ Table \* ARABIC </w:instrText>
      </w:r>
      <w:r>
        <w:fldChar w:fldCharType="separate"/>
      </w:r>
      <w:r>
        <w:rPr>
          <w:noProof/>
        </w:rPr>
        <w:t>2</w:t>
      </w:r>
      <w:r>
        <w:fldChar w:fldCharType="end"/>
      </w:r>
      <w:r w:rsidR="00224669">
        <w:t xml:space="preserve">: NET Accessibility </w:t>
      </w:r>
      <w:r w:rsidR="00E77B5F">
        <w:t>s</w:t>
      </w:r>
      <w:r w:rsidR="00224669">
        <w:t>core by country</w:t>
      </w:r>
    </w:p>
    <w:tbl>
      <w:tblPr>
        <w:tblStyle w:val="TableGrid"/>
        <w:tblW w:w="0" w:type="auto"/>
        <w:tblLook w:val="04A0" w:firstRow="1" w:lastRow="0" w:firstColumn="1" w:lastColumn="0" w:noHBand="0" w:noVBand="1"/>
        <w:tblCaption w:val="NET Accessible score (extremely accessible + accessible score) "/>
        <w:tblDescription w:val=" NET Accessible (extremely accessible + accessible score) &#10;Australia 81&#10;Japan 80&#10;Canada 79&#10;New Zealand 79&#10;Italy 69&#10;Hawaii 67&#10;Thailand 63&#10;"/>
      </w:tblPr>
      <w:tblGrid>
        <w:gridCol w:w="2405"/>
        <w:gridCol w:w="7553"/>
      </w:tblGrid>
      <w:tr w:rsidR="0019013F" w14:paraId="6FC5B3D1" w14:textId="77777777" w:rsidTr="00DA6999">
        <w:trPr>
          <w:trHeight w:val="454"/>
          <w:tblHeader/>
        </w:trPr>
        <w:tc>
          <w:tcPr>
            <w:tcW w:w="2405" w:type="dxa"/>
            <w:shd w:val="clear" w:color="auto" w:fill="300050" w:themeFill="text2"/>
          </w:tcPr>
          <w:p w14:paraId="0E1AD0E1" w14:textId="77777777" w:rsidR="0019013F" w:rsidRPr="00DA6999" w:rsidRDefault="0019013F" w:rsidP="00FE2458">
            <w:pPr>
              <w:rPr>
                <w:b/>
                <w:bCs/>
                <w:color w:val="FFFFFF" w:themeColor="background1"/>
                <w:lang w:val="pt-PT"/>
              </w:rPr>
            </w:pPr>
          </w:p>
        </w:tc>
        <w:tc>
          <w:tcPr>
            <w:tcW w:w="7553" w:type="dxa"/>
            <w:shd w:val="clear" w:color="auto" w:fill="300050" w:themeFill="text2"/>
          </w:tcPr>
          <w:p w14:paraId="35CC0AC3" w14:textId="67701C21" w:rsidR="0019013F" w:rsidRPr="00DA6999" w:rsidRDefault="0019013F" w:rsidP="00FE2458">
            <w:pPr>
              <w:rPr>
                <w:b/>
                <w:bCs/>
                <w:color w:val="FFFFFF" w:themeColor="background1"/>
                <w:lang w:val="pt-PT"/>
              </w:rPr>
            </w:pPr>
            <w:r w:rsidRPr="00DA6999">
              <w:rPr>
                <w:b/>
                <w:bCs/>
                <w:color w:val="FFFFFF" w:themeColor="background1"/>
                <w:lang w:val="pt-PT"/>
              </w:rPr>
              <w:t xml:space="preserve">NET Accessible (extremely accessible + accessible score) </w:t>
            </w:r>
          </w:p>
        </w:tc>
      </w:tr>
      <w:tr w:rsidR="00242E9A" w14:paraId="1A7ACA63" w14:textId="77777777" w:rsidTr="00DA6999">
        <w:trPr>
          <w:trHeight w:val="393"/>
        </w:trPr>
        <w:tc>
          <w:tcPr>
            <w:tcW w:w="2405" w:type="dxa"/>
            <w:vAlign w:val="center"/>
          </w:tcPr>
          <w:p w14:paraId="27CF372C" w14:textId="4395DC02" w:rsidR="00242E9A" w:rsidRDefault="00242E9A" w:rsidP="00FE2458">
            <w:pPr>
              <w:rPr>
                <w:lang w:val="pt-PT"/>
              </w:rPr>
            </w:pPr>
            <w:r>
              <w:rPr>
                <w:lang w:val="pt-PT"/>
              </w:rPr>
              <w:t>Australia</w:t>
            </w:r>
          </w:p>
        </w:tc>
        <w:tc>
          <w:tcPr>
            <w:tcW w:w="7553" w:type="dxa"/>
            <w:vAlign w:val="center"/>
          </w:tcPr>
          <w:p w14:paraId="53846DF2" w14:textId="3BE7E7BC" w:rsidR="00242E9A" w:rsidRDefault="00242E9A" w:rsidP="00FE2458">
            <w:pPr>
              <w:rPr>
                <w:lang w:val="pt-PT"/>
              </w:rPr>
            </w:pPr>
            <w:r>
              <w:rPr>
                <w:lang w:val="pt-PT"/>
              </w:rPr>
              <w:t>81</w:t>
            </w:r>
          </w:p>
        </w:tc>
      </w:tr>
      <w:tr w:rsidR="00242E9A" w14:paraId="4686AA92" w14:textId="77777777" w:rsidTr="00DA6999">
        <w:tc>
          <w:tcPr>
            <w:tcW w:w="2405" w:type="dxa"/>
            <w:vAlign w:val="center"/>
          </w:tcPr>
          <w:p w14:paraId="73B2F9E6" w14:textId="331E79DC" w:rsidR="00242E9A" w:rsidRDefault="00242E9A" w:rsidP="00FE2458">
            <w:pPr>
              <w:rPr>
                <w:lang w:val="pt-PT"/>
              </w:rPr>
            </w:pPr>
            <w:r>
              <w:rPr>
                <w:lang w:val="pt-PT"/>
              </w:rPr>
              <w:t>Japan</w:t>
            </w:r>
          </w:p>
        </w:tc>
        <w:tc>
          <w:tcPr>
            <w:tcW w:w="7553" w:type="dxa"/>
            <w:vAlign w:val="center"/>
          </w:tcPr>
          <w:p w14:paraId="3429E6C4" w14:textId="311138C6" w:rsidR="00242E9A" w:rsidRDefault="00242E9A" w:rsidP="00FE2458">
            <w:pPr>
              <w:rPr>
                <w:lang w:val="pt-PT"/>
              </w:rPr>
            </w:pPr>
            <w:r>
              <w:rPr>
                <w:lang w:val="pt-PT"/>
              </w:rPr>
              <w:t>80</w:t>
            </w:r>
          </w:p>
        </w:tc>
      </w:tr>
      <w:tr w:rsidR="00242E9A" w14:paraId="2F19A9C4" w14:textId="77777777" w:rsidTr="00DA6999">
        <w:tc>
          <w:tcPr>
            <w:tcW w:w="2405" w:type="dxa"/>
            <w:vAlign w:val="center"/>
          </w:tcPr>
          <w:p w14:paraId="374A73D0" w14:textId="32A8EEF6" w:rsidR="00242E9A" w:rsidRDefault="00242E9A" w:rsidP="00FE2458">
            <w:pPr>
              <w:rPr>
                <w:lang w:val="pt-PT"/>
              </w:rPr>
            </w:pPr>
            <w:r>
              <w:rPr>
                <w:lang w:val="pt-PT"/>
              </w:rPr>
              <w:t>Canada</w:t>
            </w:r>
          </w:p>
        </w:tc>
        <w:tc>
          <w:tcPr>
            <w:tcW w:w="7553" w:type="dxa"/>
            <w:vAlign w:val="center"/>
          </w:tcPr>
          <w:p w14:paraId="3E49C50F" w14:textId="127E5D50" w:rsidR="00242E9A" w:rsidRDefault="00DA3591" w:rsidP="00FE2458">
            <w:pPr>
              <w:rPr>
                <w:lang w:val="pt-PT"/>
              </w:rPr>
            </w:pPr>
            <w:r>
              <w:rPr>
                <w:lang w:val="pt-PT"/>
              </w:rPr>
              <w:t>79</w:t>
            </w:r>
          </w:p>
        </w:tc>
      </w:tr>
      <w:tr w:rsidR="00242E9A" w14:paraId="0A9F2DA1" w14:textId="77777777" w:rsidTr="00DA6999">
        <w:tc>
          <w:tcPr>
            <w:tcW w:w="2405" w:type="dxa"/>
            <w:vAlign w:val="center"/>
          </w:tcPr>
          <w:p w14:paraId="06928B77" w14:textId="5D24A0B9" w:rsidR="00242E9A" w:rsidRDefault="00DA3591" w:rsidP="00FE2458">
            <w:pPr>
              <w:rPr>
                <w:lang w:val="pt-PT"/>
              </w:rPr>
            </w:pPr>
            <w:r>
              <w:rPr>
                <w:lang w:val="pt-PT"/>
              </w:rPr>
              <w:t>New Zealand</w:t>
            </w:r>
          </w:p>
        </w:tc>
        <w:tc>
          <w:tcPr>
            <w:tcW w:w="7553" w:type="dxa"/>
            <w:vAlign w:val="center"/>
          </w:tcPr>
          <w:p w14:paraId="3EFCFDBE" w14:textId="0AE44082" w:rsidR="00242E9A" w:rsidRDefault="00DA3591" w:rsidP="00FE2458">
            <w:pPr>
              <w:rPr>
                <w:lang w:val="pt-PT"/>
              </w:rPr>
            </w:pPr>
            <w:r>
              <w:rPr>
                <w:lang w:val="pt-PT"/>
              </w:rPr>
              <w:t>79</w:t>
            </w:r>
          </w:p>
        </w:tc>
      </w:tr>
      <w:tr w:rsidR="00242E9A" w14:paraId="32918864" w14:textId="77777777" w:rsidTr="00DA6999">
        <w:tc>
          <w:tcPr>
            <w:tcW w:w="2405" w:type="dxa"/>
            <w:vAlign w:val="center"/>
          </w:tcPr>
          <w:p w14:paraId="17A63788" w14:textId="72FCF3DC" w:rsidR="00242E9A" w:rsidRDefault="00DA3591" w:rsidP="00FE2458">
            <w:pPr>
              <w:rPr>
                <w:lang w:val="pt-PT"/>
              </w:rPr>
            </w:pPr>
            <w:r>
              <w:rPr>
                <w:lang w:val="pt-PT"/>
              </w:rPr>
              <w:t>Italy</w:t>
            </w:r>
          </w:p>
        </w:tc>
        <w:tc>
          <w:tcPr>
            <w:tcW w:w="7553" w:type="dxa"/>
            <w:vAlign w:val="center"/>
          </w:tcPr>
          <w:p w14:paraId="5EAD1F2A" w14:textId="23909533" w:rsidR="00242E9A" w:rsidRDefault="00DA3591" w:rsidP="00FE2458">
            <w:pPr>
              <w:rPr>
                <w:lang w:val="pt-PT"/>
              </w:rPr>
            </w:pPr>
            <w:r>
              <w:rPr>
                <w:lang w:val="pt-PT"/>
              </w:rPr>
              <w:t>69</w:t>
            </w:r>
          </w:p>
        </w:tc>
      </w:tr>
      <w:tr w:rsidR="00242E9A" w14:paraId="726DD37A" w14:textId="77777777" w:rsidTr="00DA6999">
        <w:tc>
          <w:tcPr>
            <w:tcW w:w="2405" w:type="dxa"/>
            <w:vAlign w:val="center"/>
          </w:tcPr>
          <w:p w14:paraId="142A4104" w14:textId="74E622B3" w:rsidR="00242E9A" w:rsidRDefault="00DA3591" w:rsidP="00FE2458">
            <w:pPr>
              <w:rPr>
                <w:lang w:val="pt-PT"/>
              </w:rPr>
            </w:pPr>
            <w:r>
              <w:rPr>
                <w:lang w:val="pt-PT"/>
              </w:rPr>
              <w:t>Hawaii</w:t>
            </w:r>
          </w:p>
        </w:tc>
        <w:tc>
          <w:tcPr>
            <w:tcW w:w="7553" w:type="dxa"/>
            <w:vAlign w:val="center"/>
          </w:tcPr>
          <w:p w14:paraId="340D0461" w14:textId="6F8D4379" w:rsidR="00242E9A" w:rsidRDefault="00DA3591" w:rsidP="00FE2458">
            <w:pPr>
              <w:rPr>
                <w:lang w:val="pt-PT"/>
              </w:rPr>
            </w:pPr>
            <w:r>
              <w:rPr>
                <w:lang w:val="pt-PT"/>
              </w:rPr>
              <w:t>67</w:t>
            </w:r>
          </w:p>
        </w:tc>
      </w:tr>
      <w:tr w:rsidR="00DA3591" w14:paraId="04F8E430" w14:textId="77777777" w:rsidTr="00DA6999">
        <w:tc>
          <w:tcPr>
            <w:tcW w:w="2405" w:type="dxa"/>
            <w:vAlign w:val="center"/>
          </w:tcPr>
          <w:p w14:paraId="75BDDF60" w14:textId="3C094647" w:rsidR="00DA3591" w:rsidRDefault="00DA3591" w:rsidP="00FE2458">
            <w:pPr>
              <w:rPr>
                <w:lang w:val="pt-PT"/>
              </w:rPr>
            </w:pPr>
            <w:r>
              <w:rPr>
                <w:lang w:val="pt-PT"/>
              </w:rPr>
              <w:t>Thailand</w:t>
            </w:r>
          </w:p>
        </w:tc>
        <w:tc>
          <w:tcPr>
            <w:tcW w:w="7553" w:type="dxa"/>
            <w:vAlign w:val="center"/>
          </w:tcPr>
          <w:p w14:paraId="102F6315" w14:textId="660A2354" w:rsidR="00DA3591" w:rsidRDefault="0019013F" w:rsidP="00FE2458">
            <w:pPr>
              <w:rPr>
                <w:lang w:val="pt-PT"/>
              </w:rPr>
            </w:pPr>
            <w:r>
              <w:rPr>
                <w:lang w:val="pt-PT"/>
              </w:rPr>
              <w:t>63</w:t>
            </w:r>
          </w:p>
        </w:tc>
      </w:tr>
    </w:tbl>
    <w:p w14:paraId="77604B1E" w14:textId="0C5B275B" w:rsidR="00BB3854" w:rsidRDefault="00BB3854">
      <w:pPr>
        <w:spacing w:before="0" w:after="160" w:line="259" w:lineRule="auto"/>
        <w:rPr>
          <w:lang w:val="pt-PT"/>
        </w:rPr>
      </w:pPr>
    </w:p>
    <w:p w14:paraId="3B62A6C3" w14:textId="77777777" w:rsidR="00BB3854" w:rsidRPr="00BB3854" w:rsidRDefault="00BB3854" w:rsidP="00BB3854">
      <w:pPr>
        <w:spacing w:before="0" w:after="160" w:line="259" w:lineRule="auto"/>
      </w:pPr>
      <w:r w:rsidRPr="00BB3854">
        <w:t>Australia's hotels have higher than global benchmark numbers for many of the accessible features</w:t>
      </w:r>
      <w:r>
        <w:t xml:space="preserve">. </w:t>
      </w:r>
      <w:r w:rsidRPr="00BB3854">
        <w:t>A 2021 international study by Fuentes et al on the prevalence of accessible facilities in hotels found that Australia scores above the global average in several areas such as:</w:t>
      </w:r>
    </w:p>
    <w:p w14:paraId="52A44B19" w14:textId="77777777" w:rsidR="00BB3854" w:rsidRPr="00BB3854" w:rsidRDefault="00BB3854" w:rsidP="00BB3854">
      <w:pPr>
        <w:pStyle w:val="ListParagraph"/>
        <w:numPr>
          <w:ilvl w:val="0"/>
          <w:numId w:val="36"/>
        </w:numPr>
        <w:spacing w:before="0" w:after="160" w:line="259" w:lineRule="auto"/>
      </w:pPr>
      <w:r w:rsidRPr="00BB3854">
        <w:lastRenderedPageBreak/>
        <w:t>Wheelchair facilities (26% of hotels in the study had wheelchair facilities compared with 18% as a global average)</w:t>
      </w:r>
    </w:p>
    <w:p w14:paraId="03E1EA22" w14:textId="77777777" w:rsidR="00BB3854" w:rsidRPr="00BB3854" w:rsidRDefault="00BB3854" w:rsidP="00BB3854">
      <w:pPr>
        <w:pStyle w:val="ListParagraph"/>
        <w:numPr>
          <w:ilvl w:val="0"/>
          <w:numId w:val="36"/>
        </w:numPr>
        <w:spacing w:before="0" w:after="160" w:line="259" w:lineRule="auto"/>
      </w:pPr>
      <w:r w:rsidRPr="00BB3854">
        <w:t xml:space="preserve">Toilet with grab rails (19% for Australia vs 12% for the world average). </w:t>
      </w:r>
    </w:p>
    <w:p w14:paraId="0CDFCAFC" w14:textId="759695A1" w:rsidR="00BB3854" w:rsidRPr="00BB3854" w:rsidRDefault="00BB3854" w:rsidP="00BB3854">
      <w:pPr>
        <w:spacing w:before="0" w:after="160" w:line="259" w:lineRule="auto"/>
      </w:pPr>
      <w:r w:rsidRPr="00BB3854">
        <w:t>On the other hand, Australia lags the global average in terms of:</w:t>
      </w:r>
    </w:p>
    <w:p w14:paraId="007AD49B" w14:textId="77777777" w:rsidR="00BB3854" w:rsidRPr="00BB3854" w:rsidRDefault="00BB3854" w:rsidP="00BB3854">
      <w:pPr>
        <w:pStyle w:val="ListParagraph"/>
        <w:numPr>
          <w:ilvl w:val="0"/>
          <w:numId w:val="37"/>
        </w:numPr>
        <w:spacing w:before="0" w:after="160" w:line="259" w:lineRule="auto"/>
      </w:pPr>
      <w:r w:rsidRPr="00BB3854">
        <w:t>Emergency cords (1% for Australia vs 6% as a global average)</w:t>
      </w:r>
    </w:p>
    <w:p w14:paraId="033AF47C" w14:textId="77777777" w:rsidR="00BB3854" w:rsidRPr="00BB3854" w:rsidRDefault="00BB3854" w:rsidP="00BB3854">
      <w:pPr>
        <w:pStyle w:val="ListParagraph"/>
        <w:numPr>
          <w:ilvl w:val="0"/>
          <w:numId w:val="37"/>
        </w:numPr>
        <w:spacing w:before="0" w:after="160" w:line="259" w:lineRule="auto"/>
      </w:pPr>
      <w:r w:rsidRPr="00BB3854">
        <w:t>Audio guide (0.4% for Australia vs 2% as a global average).</w:t>
      </w:r>
    </w:p>
    <w:p w14:paraId="431C19BF" w14:textId="5D8C4710" w:rsidR="00210D54" w:rsidRPr="00382754" w:rsidRDefault="0077187C" w:rsidP="0077187C">
      <w:pPr>
        <w:pStyle w:val="Caption"/>
      </w:pPr>
      <w:r>
        <w:t xml:space="preserve">Figure </w:t>
      </w:r>
      <w:r>
        <w:fldChar w:fldCharType="begin"/>
      </w:r>
      <w:r>
        <w:instrText xml:space="preserve"> SEQ Figure \* ARABIC </w:instrText>
      </w:r>
      <w:r>
        <w:fldChar w:fldCharType="separate"/>
      </w:r>
      <w:r w:rsidR="00B95227">
        <w:rPr>
          <w:noProof/>
        </w:rPr>
        <w:t>16</w:t>
      </w:r>
      <w:r>
        <w:fldChar w:fldCharType="end"/>
      </w:r>
      <w:r>
        <w:t xml:space="preserve">: Proportion of hotels with accessible facilities </w:t>
      </w:r>
    </w:p>
    <w:p w14:paraId="773D3AA2" w14:textId="0B804C1F" w:rsidR="000141E7" w:rsidRDefault="00382754">
      <w:pPr>
        <w:spacing w:before="0" w:after="160" w:line="259" w:lineRule="auto"/>
        <w:rPr>
          <w:rFonts w:eastAsia="SimSun" w:cs="Times New Roman"/>
          <w:bCs/>
          <w:color w:val="441D4A" w:themeColor="accent1" w:themeShade="80"/>
          <w:sz w:val="32"/>
          <w:szCs w:val="26"/>
          <w:lang w:eastAsia="zh-CN"/>
        </w:rPr>
      </w:pPr>
      <w:r>
        <w:rPr>
          <w:noProof/>
        </w:rPr>
        <w:drawing>
          <wp:inline distT="0" distB="0" distL="0" distR="0" wp14:anchorId="53F4F7BC" wp14:editId="710CAEA0">
            <wp:extent cx="6329680" cy="4342765"/>
            <wp:effectExtent l="0" t="0" r="0" b="635"/>
            <wp:docPr id="1467730267"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30267" name="Picture 1" descr="A graph of different colored bars&#10;&#10;AI-generated content may be incorrect."/>
                    <pic:cNvPicPr/>
                  </pic:nvPicPr>
                  <pic:blipFill>
                    <a:blip r:embed="rId33"/>
                    <a:stretch>
                      <a:fillRect/>
                    </a:stretch>
                  </pic:blipFill>
                  <pic:spPr>
                    <a:xfrm>
                      <a:off x="0" y="0"/>
                      <a:ext cx="6329680" cy="4342765"/>
                    </a:xfrm>
                    <a:prstGeom prst="rect">
                      <a:avLst/>
                    </a:prstGeom>
                  </pic:spPr>
                </pic:pic>
              </a:graphicData>
            </a:graphic>
          </wp:inline>
        </w:drawing>
      </w:r>
      <w:r w:rsidR="000141E7">
        <w:br w:type="page"/>
      </w:r>
    </w:p>
    <w:p w14:paraId="1247A1E6" w14:textId="354C7E54" w:rsidR="00836316" w:rsidRPr="00836316" w:rsidRDefault="00836316" w:rsidP="00836316">
      <w:pPr>
        <w:pStyle w:val="Heading2"/>
      </w:pPr>
      <w:bookmarkStart w:id="79" w:name="_Toc204158643"/>
      <w:r w:rsidRPr="00836316">
        <w:lastRenderedPageBreak/>
        <w:t xml:space="preserve">Conclusions and </w:t>
      </w:r>
      <w:r w:rsidR="00341CA7">
        <w:t>resources</w:t>
      </w:r>
      <w:bookmarkEnd w:id="79"/>
    </w:p>
    <w:p w14:paraId="551BD324" w14:textId="7409D197" w:rsidR="00D26B05" w:rsidRDefault="00836316" w:rsidP="00DB412F">
      <w:r w:rsidRPr="00836316">
        <w:t>Accessible tourism is a valuable contributor to regional Australia and the wider visitor economy</w:t>
      </w:r>
      <w:r>
        <w:t>.</w:t>
      </w:r>
      <w:r w:rsidRPr="00836316">
        <w:t xml:space="preserve"> </w:t>
      </w:r>
    </w:p>
    <w:p w14:paraId="489FA358" w14:textId="63B356B0" w:rsidR="00DB412F" w:rsidRDefault="00DB412F" w:rsidP="00DB412F">
      <w:r>
        <w:t>Main findings from 2024:</w:t>
      </w:r>
    </w:p>
    <w:p w14:paraId="7F5763DE" w14:textId="28E78667" w:rsidR="001F5C55" w:rsidRPr="001F5C55" w:rsidRDefault="001F5C55" w:rsidP="001F5C55">
      <w:pPr>
        <w:numPr>
          <w:ilvl w:val="0"/>
          <w:numId w:val="38"/>
        </w:numPr>
      </w:pPr>
      <w:r w:rsidRPr="001F5C55">
        <w:t>Accessible tourism is a large and valuable sector of the visitor economy entailing 70.5 million trips worth $29.2 billion in 2024.</w:t>
      </w:r>
    </w:p>
    <w:p w14:paraId="569F334F" w14:textId="27B3699D" w:rsidR="001F5C55" w:rsidRPr="001F5C55" w:rsidRDefault="001F5C55" w:rsidP="001F5C55">
      <w:pPr>
        <w:numPr>
          <w:ilvl w:val="0"/>
          <w:numId w:val="38"/>
        </w:numPr>
      </w:pPr>
      <w:r w:rsidRPr="001F5C55">
        <w:t xml:space="preserve">Travellers with accessible needs spent </w:t>
      </w:r>
      <w:r w:rsidR="00D26B05" w:rsidRPr="001F5C55">
        <w:t>most of</w:t>
      </w:r>
      <w:r w:rsidRPr="001F5C55">
        <w:t xml:space="preserve"> their time (58% of nights/day trips) in regional areas. </w:t>
      </w:r>
    </w:p>
    <w:p w14:paraId="34803AB0" w14:textId="77777777" w:rsidR="001F5C55" w:rsidRPr="001F5C55" w:rsidRDefault="001F5C55" w:rsidP="001F5C55">
      <w:pPr>
        <w:numPr>
          <w:ilvl w:val="0"/>
          <w:numId w:val="38"/>
        </w:numPr>
      </w:pPr>
      <w:r w:rsidRPr="001F5C55">
        <w:t>Travellers with accessible needs were more likely to travel in groups than other travellers.</w:t>
      </w:r>
    </w:p>
    <w:p w14:paraId="36583560" w14:textId="77777777" w:rsidR="001F5C55" w:rsidRPr="001F5C55" w:rsidRDefault="001F5C55" w:rsidP="001F5C55">
      <w:pPr>
        <w:numPr>
          <w:ilvl w:val="0"/>
          <w:numId w:val="38"/>
        </w:numPr>
      </w:pPr>
      <w:r w:rsidRPr="001F5C55">
        <w:t>The expense items that consumed the largest proportion of travel budget were food &amp; drink (30%) and accommodation (23%).</w:t>
      </w:r>
    </w:p>
    <w:p w14:paraId="710469A1" w14:textId="77777777" w:rsidR="001F5C55" w:rsidRPr="001F5C55" w:rsidRDefault="001F5C55" w:rsidP="001F5C55">
      <w:pPr>
        <w:numPr>
          <w:ilvl w:val="0"/>
          <w:numId w:val="38"/>
        </w:numPr>
      </w:pPr>
      <w:r w:rsidRPr="001F5C55">
        <w:t>The most common form of transport used by travellers with accessibility needs was self-drive vehicle followed by aircraft and trains.</w:t>
      </w:r>
    </w:p>
    <w:p w14:paraId="27AD8B1B" w14:textId="5AE13D2E" w:rsidR="00DB412F" w:rsidRDefault="00DB412F" w:rsidP="00DB412F">
      <w:r w:rsidRPr="00DB412F">
        <w:t>Performance of the sector &amp; recommendations</w:t>
      </w:r>
    </w:p>
    <w:p w14:paraId="72AD1C17" w14:textId="721195D2" w:rsidR="001F5C55" w:rsidRPr="001F5C55" w:rsidRDefault="001F5C55" w:rsidP="001F5C55">
      <w:pPr>
        <w:numPr>
          <w:ilvl w:val="0"/>
          <w:numId w:val="38"/>
        </w:numPr>
      </w:pPr>
      <w:r w:rsidRPr="001F5C55">
        <w:t>Australia scores highly in terms of perception of accessibility compared with international comparators (81% score Australia as “accessible” or “highly accessible”).</w:t>
      </w:r>
    </w:p>
    <w:p w14:paraId="761B8202" w14:textId="77777777" w:rsidR="001F5C55" w:rsidRPr="001F5C55" w:rsidRDefault="001F5C55" w:rsidP="001F5C55">
      <w:pPr>
        <w:numPr>
          <w:ilvl w:val="0"/>
          <w:numId w:val="38"/>
        </w:numPr>
      </w:pPr>
      <w:r w:rsidRPr="001F5C55">
        <w:t>Australia also performs highly in terms of the prevalence of accessible facilities in hotels (compared with international comparators).</w:t>
      </w:r>
    </w:p>
    <w:p w14:paraId="1857770C" w14:textId="77777777" w:rsidR="001F5C55" w:rsidRPr="001F5C55" w:rsidRDefault="001F5C55" w:rsidP="001F5C55">
      <w:pPr>
        <w:numPr>
          <w:ilvl w:val="0"/>
          <w:numId w:val="38"/>
        </w:numPr>
      </w:pPr>
      <w:r w:rsidRPr="001F5C55">
        <w:t xml:space="preserve">Increased accessibility ensures everyone can enjoy the same tourism products, allowing businesses to accommodate a broader range of visitors. </w:t>
      </w:r>
    </w:p>
    <w:p w14:paraId="6E7EC59F" w14:textId="77777777" w:rsidR="001F5C55" w:rsidRPr="001F5C55" w:rsidRDefault="001F5C55" w:rsidP="001F5C55">
      <w:pPr>
        <w:numPr>
          <w:ilvl w:val="0"/>
          <w:numId w:val="38"/>
        </w:numPr>
      </w:pPr>
      <w:r w:rsidRPr="001F5C55">
        <w:t xml:space="preserve">Frameworks and action plans are available for tourism businesses to implement change to enhance accessibility for a range of traveller needs. </w:t>
      </w:r>
    </w:p>
    <w:p w14:paraId="4577E595" w14:textId="68903892" w:rsidR="007E6FCD" w:rsidRPr="007E6FCD" w:rsidRDefault="007E6FCD" w:rsidP="001A4705">
      <w:pPr>
        <w:pStyle w:val="Heading3"/>
      </w:pPr>
      <w:bookmarkStart w:id="80" w:name="_Toc204158192"/>
      <w:bookmarkStart w:id="81" w:name="_Toc204158248"/>
      <w:bookmarkStart w:id="82" w:name="_Toc204158474"/>
      <w:bookmarkStart w:id="83" w:name="_Toc204158644"/>
      <w:bookmarkStart w:id="84" w:name="_Toc202255488"/>
      <w:r w:rsidRPr="007E6FCD">
        <w:t xml:space="preserve">Government actions and </w:t>
      </w:r>
      <w:r>
        <w:t>f</w:t>
      </w:r>
      <w:r w:rsidRPr="007E6FCD">
        <w:t>urther resources for accessible tourism</w:t>
      </w:r>
      <w:bookmarkEnd w:id="80"/>
      <w:bookmarkEnd w:id="81"/>
      <w:bookmarkEnd w:id="82"/>
      <w:bookmarkEnd w:id="83"/>
    </w:p>
    <w:p w14:paraId="1B3093F8" w14:textId="27B0D2B5" w:rsidR="00E05FDC" w:rsidRDefault="007E6FCD" w:rsidP="007E6FCD">
      <w:pPr>
        <w:spacing w:before="0" w:after="160" w:line="259" w:lineRule="auto"/>
      </w:pPr>
      <w:r w:rsidRPr="007E6FCD">
        <w:t xml:space="preserve">There are </w:t>
      </w:r>
      <w:proofErr w:type="gramStart"/>
      <w:r w:rsidRPr="007E6FCD">
        <w:t>a number of</w:t>
      </w:r>
      <w:proofErr w:type="gramEnd"/>
      <w:r w:rsidRPr="007E6FCD">
        <w:t xml:space="preserve"> Government actions and initiatives currently in place to assist with improvement and expansion of accessible tourism in Australia.</w:t>
      </w:r>
      <w:r>
        <w:t xml:space="preserve"> </w:t>
      </w:r>
      <w:r w:rsidRPr="007E6FCD">
        <w:t xml:space="preserve">There is also a range of further resources available to the sector provided by NGOs as well as </w:t>
      </w:r>
      <w:r w:rsidR="00B37356">
        <w:t>g</w:t>
      </w:r>
      <w:r w:rsidRPr="007E6FCD">
        <w:t xml:space="preserve">overnment bodies. </w:t>
      </w:r>
    </w:p>
    <w:p w14:paraId="0228542B" w14:textId="77777777" w:rsidR="00E05FDC" w:rsidRPr="00771CBA" w:rsidRDefault="00E05FDC" w:rsidP="00E05FDC">
      <w:pPr>
        <w:spacing w:before="0" w:after="160" w:line="259" w:lineRule="auto"/>
        <w:rPr>
          <w:u w:val="single"/>
        </w:rPr>
      </w:pPr>
      <w:r w:rsidRPr="00771CBA">
        <w:rPr>
          <w:u w:val="single"/>
        </w:rPr>
        <w:t>Government actions</w:t>
      </w:r>
    </w:p>
    <w:p w14:paraId="08350771" w14:textId="105FCC8E" w:rsidR="00E05FDC" w:rsidRDefault="00E05FDC" w:rsidP="00E05FDC">
      <w:pPr>
        <w:spacing w:before="0" w:after="160" w:line="259" w:lineRule="auto"/>
      </w:pPr>
      <w:r>
        <w:t>• THRIVE 2030 is the national strategy for the long-term and sustainable growth of Australia’s visitor economy. The strategy includes actions on accessible tourism.</w:t>
      </w:r>
    </w:p>
    <w:p w14:paraId="3E832EE4" w14:textId="7F8E1C2E" w:rsidR="00E05FDC" w:rsidRDefault="00E05FDC" w:rsidP="00E05FDC">
      <w:pPr>
        <w:spacing w:before="0" w:after="160" w:line="259" w:lineRule="auto"/>
      </w:pPr>
      <w:r>
        <w:t>• The Government has committed $17.1 million of funding to make national parks, beaches and playgrounds more accessible for people with disability under the ‘Accessible Australia’ initiative.</w:t>
      </w:r>
    </w:p>
    <w:p w14:paraId="299C0E21" w14:textId="17B9B004" w:rsidR="00E05FDC" w:rsidRDefault="00E05FDC" w:rsidP="00E05FDC">
      <w:pPr>
        <w:spacing w:before="0" w:after="160" w:line="259" w:lineRule="auto"/>
      </w:pPr>
      <w:r>
        <w:t>• The Government has also delivered grant programs that support tourism businesses to modernise their infrastructure, become more accessible and</w:t>
      </w:r>
      <w:r w:rsidR="00771CBA">
        <w:t xml:space="preserve"> </w:t>
      </w:r>
      <w:r>
        <w:t>meet the emerging needs of visitors.</w:t>
      </w:r>
    </w:p>
    <w:p w14:paraId="65AB75D4" w14:textId="2A684759" w:rsidR="00E05FDC" w:rsidRDefault="00E05FDC" w:rsidP="00E05FDC">
      <w:pPr>
        <w:spacing w:before="0" w:after="160" w:line="259" w:lineRule="auto"/>
      </w:pPr>
      <w:r>
        <w:t>• Austrade has developed the WELCOME Framework - an entry level toolkit that</w:t>
      </w:r>
      <w:r w:rsidR="00771CBA">
        <w:t xml:space="preserve"> </w:t>
      </w:r>
      <w:r>
        <w:t>complements industry products that support travellers with accessible needs.</w:t>
      </w:r>
    </w:p>
    <w:p w14:paraId="54C5B6F8" w14:textId="1798BBD5" w:rsidR="00E05FDC" w:rsidRDefault="00E05FDC" w:rsidP="00E05FDC">
      <w:pPr>
        <w:spacing w:before="0" w:after="160" w:line="259" w:lineRule="auto"/>
      </w:pPr>
      <w:r>
        <w:lastRenderedPageBreak/>
        <w:t>• Tourism Australia has developed a Disability and Inclusion Action Plan 2025</w:t>
      </w:r>
      <w:r w:rsidR="00771CBA">
        <w:t xml:space="preserve"> </w:t>
      </w:r>
      <w:r>
        <w:t>– 2028, which outlines actions Tourism Australia has committed to support</w:t>
      </w:r>
      <w:r w:rsidR="00771CBA">
        <w:t xml:space="preserve"> </w:t>
      </w:r>
      <w:r>
        <w:t>the adoption of inclusive practices throughout the tourism industry and in</w:t>
      </w:r>
      <w:r w:rsidR="00771CBA">
        <w:t xml:space="preserve"> </w:t>
      </w:r>
      <w:r>
        <w:t>marketing processes.</w:t>
      </w:r>
    </w:p>
    <w:p w14:paraId="40092D52" w14:textId="77777777" w:rsidR="00E05FDC" w:rsidRPr="00771CBA" w:rsidRDefault="00E05FDC" w:rsidP="00E05FDC">
      <w:pPr>
        <w:spacing w:before="0" w:after="160" w:line="259" w:lineRule="auto"/>
        <w:rPr>
          <w:u w:val="single"/>
        </w:rPr>
      </w:pPr>
      <w:r w:rsidRPr="00771CBA">
        <w:rPr>
          <w:u w:val="single"/>
        </w:rPr>
        <w:t>Further resources for accessible tourism</w:t>
      </w:r>
    </w:p>
    <w:p w14:paraId="0959C80D" w14:textId="144853DD" w:rsidR="00A3570F" w:rsidRDefault="00E05FDC" w:rsidP="00E05FDC">
      <w:pPr>
        <w:spacing w:before="0" w:after="160" w:line="259" w:lineRule="auto"/>
        <w:rPr>
          <w:bCs/>
          <w:color w:val="300050" w:themeColor="text2"/>
          <w:sz w:val="28"/>
          <w:szCs w:val="32"/>
        </w:rPr>
      </w:pPr>
      <w:r>
        <w:t xml:space="preserve">Tourism Australia provides a list for tourism operators, travellers, and those looking for specific information regarding states and territories, and needs. This can be found </w:t>
      </w:r>
      <w:r w:rsidR="00771CBA">
        <w:t>at</w:t>
      </w:r>
      <w:r>
        <w:t xml:space="preserve"> </w:t>
      </w:r>
      <w:hyperlink r:id="rId34" w:history="1">
        <w:r w:rsidR="005A4858" w:rsidRPr="005A4858">
          <w:rPr>
            <w:rStyle w:val="Hyperlink"/>
          </w:rPr>
          <w:t>Accessible Tourism Sector - Corporate - Tourism Australia</w:t>
        </w:r>
      </w:hyperlink>
      <w:r>
        <w:t>.</w:t>
      </w:r>
    </w:p>
    <w:p w14:paraId="4FD44A9A" w14:textId="77777777" w:rsidR="00ED0902" w:rsidRDefault="00ED0902" w:rsidP="00A26D63">
      <w:pPr>
        <w:pStyle w:val="Heading3"/>
      </w:pPr>
      <w:bookmarkStart w:id="85" w:name="_Toc202255489"/>
      <w:bookmarkStart w:id="86" w:name="_Toc204158193"/>
      <w:bookmarkStart w:id="87" w:name="_Toc204158249"/>
      <w:bookmarkStart w:id="88" w:name="_Toc204158475"/>
      <w:bookmarkStart w:id="89" w:name="_Toc204158645"/>
      <w:bookmarkEnd w:id="84"/>
      <w:r w:rsidRPr="00ED0902">
        <w:t>Tourism Australia is committed to Accessible Tourism</w:t>
      </w:r>
      <w:bookmarkEnd w:id="85"/>
      <w:bookmarkEnd w:id="86"/>
      <w:bookmarkEnd w:id="87"/>
      <w:bookmarkEnd w:id="88"/>
      <w:bookmarkEnd w:id="89"/>
      <w:r w:rsidRPr="00ED0902">
        <w:t xml:space="preserve"> </w:t>
      </w:r>
    </w:p>
    <w:p w14:paraId="27F8CA46" w14:textId="77777777" w:rsidR="008E2DD7" w:rsidRDefault="008E2DD7" w:rsidP="008E2DD7">
      <w:pPr>
        <w:spacing w:before="0" w:after="160" w:line="259" w:lineRule="auto"/>
      </w:pPr>
      <w:bookmarkStart w:id="90" w:name="_Toc202255490"/>
      <w:r>
        <w:t>In 2024, Tourism Australia strengthened its strategic commitment to positioning Australia as an accessible and inclusive tourism destination. This included the development of an internal action plan to guide Tourism Australia’s approach to creating demand, supporting industry, and embedding inclusive practices across its work. </w:t>
      </w:r>
    </w:p>
    <w:p w14:paraId="6C8BABF6" w14:textId="149F6403" w:rsidR="008E2DD7" w:rsidRDefault="008E2DD7" w:rsidP="008E2DD7">
      <w:pPr>
        <w:spacing w:before="0" w:after="160" w:line="259" w:lineRule="auto"/>
      </w:pPr>
      <w:r>
        <w:t>The Disability and Inclusion Action Plan 2025-2028 outlines Tourism Australia’s commitment to advancing inclusive practices across the tourism industry. Aligned with Australia’s Disability Strategy 2021-2031, the plan focuses on three key outcome areas identified as having the greatest potential for impact: Marketing; Industry; and Tourism Australia as an organisation. </w:t>
      </w:r>
    </w:p>
    <w:p w14:paraId="3989E56C" w14:textId="423575D1" w:rsidR="008E2DD7" w:rsidRDefault="008E2DD7" w:rsidP="008E2DD7">
      <w:pPr>
        <w:spacing w:before="0" w:after="160" w:line="259" w:lineRule="auto"/>
      </w:pPr>
      <w:r>
        <w:t>The plan was co-designed with Get Skilled Access, a Disability Inclusion Consultancy Founded by Friend of Australia, multiple Grand Slam tennis champion, Paralympian, and disability advocate Dylan Alcott AO. </w:t>
      </w:r>
    </w:p>
    <w:p w14:paraId="2E277092" w14:textId="52EC3F61" w:rsidR="00A3570F" w:rsidRDefault="008E2DD7" w:rsidP="008E2DD7">
      <w:pPr>
        <w:spacing w:before="0" w:after="160" w:line="259" w:lineRule="auto"/>
        <w:rPr>
          <w:bCs/>
          <w:color w:val="300050" w:themeColor="text2"/>
          <w:sz w:val="28"/>
          <w:szCs w:val="32"/>
        </w:rPr>
      </w:pPr>
      <w:r>
        <w:t>Tourism Research Australia is supporting this work by providing insights to better understand the needs of travellers with accessibility requirements and inform implementation of the action plan. </w:t>
      </w:r>
      <w:r w:rsidR="00A3570F">
        <w:br w:type="page"/>
      </w:r>
    </w:p>
    <w:p w14:paraId="3A16BA9E" w14:textId="630ABDFD" w:rsidR="00472281" w:rsidRPr="00A26D63" w:rsidRDefault="00472281" w:rsidP="00A26D63">
      <w:pPr>
        <w:pStyle w:val="Heading3"/>
      </w:pPr>
      <w:bookmarkStart w:id="91" w:name="_Toc204158194"/>
      <w:bookmarkStart w:id="92" w:name="_Toc204158250"/>
      <w:bookmarkStart w:id="93" w:name="_Toc204158476"/>
      <w:bookmarkStart w:id="94" w:name="_Toc204158646"/>
      <w:r w:rsidRPr="00A26D63">
        <w:lastRenderedPageBreak/>
        <w:t>The WELCOME framework</w:t>
      </w:r>
      <w:bookmarkEnd w:id="90"/>
      <w:bookmarkEnd w:id="91"/>
      <w:bookmarkEnd w:id="92"/>
      <w:bookmarkEnd w:id="93"/>
      <w:bookmarkEnd w:id="94"/>
    </w:p>
    <w:p w14:paraId="61781561" w14:textId="77777777" w:rsidR="00472281" w:rsidRPr="00472281" w:rsidRDefault="00472281" w:rsidP="00472281">
      <w:r w:rsidRPr="00472281">
        <w:t>The WELCOME Framework encourages tourism operators to view accessibility and inclusivity as a universal approach to business.</w:t>
      </w:r>
    </w:p>
    <w:p w14:paraId="56D91755" w14:textId="77777777" w:rsidR="00472281" w:rsidRDefault="00472281" w:rsidP="00472281">
      <w:r w:rsidRPr="00472281">
        <w:t xml:space="preserve">The framework not only outlines the elements to influence and provides ‘ideas to try’ for businesses which may be relevant to tourism operators to apply directly or provide thought starters that allow for inspiration. </w:t>
      </w:r>
    </w:p>
    <w:p w14:paraId="62975BA5" w14:textId="3AE6DCFC" w:rsidR="00A262BE" w:rsidRPr="00A3570F" w:rsidRDefault="00A262BE" w:rsidP="00A3570F">
      <w:pPr>
        <w:rPr>
          <w:u w:val="single"/>
        </w:rPr>
      </w:pPr>
      <w:r w:rsidRPr="00A3570F">
        <w:rPr>
          <w:sz w:val="22"/>
          <w:szCs w:val="22"/>
          <w:u w:val="single"/>
          <w:lang w:eastAsia="en-AU"/>
        </w:rPr>
        <w:t>Welcome</w:t>
      </w:r>
    </w:p>
    <w:p w14:paraId="1CA20B0A" w14:textId="0D03097F" w:rsidR="00A262BE" w:rsidRPr="00A262BE" w:rsidRDefault="00A262BE" w:rsidP="00472281">
      <w:r w:rsidRPr="00A262BE">
        <w:t>Visitors should be able to find accessibility details easily. When visitors arrive onsite, the built environment needs to be welcoming including quality customer service supported by well-trained staff with inclusive attitudes.</w:t>
      </w:r>
    </w:p>
    <w:p w14:paraId="554991AA" w14:textId="3140D6C6" w:rsidR="00A262BE" w:rsidRPr="00A3570F" w:rsidRDefault="00F32266" w:rsidP="00472281">
      <w:pPr>
        <w:rPr>
          <w:sz w:val="22"/>
          <w:szCs w:val="22"/>
          <w:u w:val="single"/>
          <w:lang w:eastAsia="en-AU"/>
        </w:rPr>
      </w:pPr>
      <w:r w:rsidRPr="00A262BE">
        <w:rPr>
          <w:sz w:val="22"/>
          <w:szCs w:val="22"/>
          <w:u w:val="single"/>
          <w:lang w:eastAsia="en-AU"/>
        </w:rPr>
        <w:t>Environment</w:t>
      </w:r>
    </w:p>
    <w:p w14:paraId="22566F89" w14:textId="63211411" w:rsidR="00A262BE" w:rsidRPr="00EB676B" w:rsidRDefault="00F32266" w:rsidP="00472281">
      <w:r w:rsidRPr="00EB676B">
        <w:t>Members of the accessible tourism community need to be familiar with the physical environment before they go. Information is key to make it easier for visitors to understand how they will experience your business and services including from the point of arrival.</w:t>
      </w:r>
    </w:p>
    <w:p w14:paraId="7DBD7869" w14:textId="5327C341" w:rsidR="00A262BE" w:rsidRPr="00A3570F" w:rsidRDefault="00F32266" w:rsidP="00472281">
      <w:pPr>
        <w:rPr>
          <w:sz w:val="22"/>
          <w:szCs w:val="22"/>
          <w:u w:val="single"/>
          <w:lang w:eastAsia="en-AU"/>
        </w:rPr>
      </w:pPr>
      <w:r w:rsidRPr="00A262BE">
        <w:rPr>
          <w:sz w:val="22"/>
          <w:szCs w:val="22"/>
          <w:u w:val="single"/>
          <w:lang w:eastAsia="en-AU"/>
        </w:rPr>
        <w:t>Links</w:t>
      </w:r>
    </w:p>
    <w:p w14:paraId="5D570A02" w14:textId="6F27D959" w:rsidR="00F32266" w:rsidRPr="00EB676B" w:rsidRDefault="00F32266" w:rsidP="00472281">
      <w:r w:rsidRPr="00EB676B">
        <w:t>Each business represents one link in the tourism supply chain. It is critical to consider how local services, and other nearby operators support a visitor’s experience.</w:t>
      </w:r>
    </w:p>
    <w:p w14:paraId="790F12E2" w14:textId="525472DE" w:rsidR="00F32266" w:rsidRPr="00A3570F" w:rsidRDefault="00F32266" w:rsidP="00472281">
      <w:pPr>
        <w:rPr>
          <w:sz w:val="22"/>
          <w:szCs w:val="22"/>
          <w:u w:val="single"/>
          <w:lang w:eastAsia="en-AU"/>
        </w:rPr>
      </w:pPr>
      <w:r w:rsidRPr="00A262BE">
        <w:rPr>
          <w:sz w:val="22"/>
          <w:szCs w:val="22"/>
          <w:u w:val="single"/>
          <w:lang w:eastAsia="en-AU"/>
        </w:rPr>
        <w:t>Communication</w:t>
      </w:r>
    </w:p>
    <w:p w14:paraId="25A8E8A5" w14:textId="2297F6FC" w:rsidR="00A3570F" w:rsidRPr="00EB676B" w:rsidRDefault="00F32266" w:rsidP="00472281">
      <w:r w:rsidRPr="00EB676B">
        <w:t>Everyone engages with businesses differently. Providing multiple points and methods of communication can support visitors through their journey – from research to visitation and onwards to repeat patronage.</w:t>
      </w:r>
    </w:p>
    <w:p w14:paraId="6AA4F217" w14:textId="1C773E97" w:rsidR="0067579C" w:rsidRPr="00A3570F" w:rsidRDefault="0067579C" w:rsidP="00472281">
      <w:pPr>
        <w:rPr>
          <w:sz w:val="22"/>
          <w:szCs w:val="22"/>
          <w:u w:val="single"/>
          <w:lang w:eastAsia="en-AU"/>
        </w:rPr>
      </w:pPr>
      <w:r w:rsidRPr="00A262BE">
        <w:rPr>
          <w:sz w:val="22"/>
          <w:szCs w:val="22"/>
          <w:u w:val="single"/>
          <w:lang w:eastAsia="en-AU"/>
        </w:rPr>
        <w:t>Operations</w:t>
      </w:r>
    </w:p>
    <w:p w14:paraId="6F4821BC" w14:textId="0CE19B95" w:rsidR="0067579C" w:rsidRPr="00EB676B" w:rsidRDefault="0067579C" w:rsidP="00472281">
      <w:r w:rsidRPr="00EB676B">
        <w:t>Exceptional customer service lies in consistency. Internal training is important to ensure your entire team can understand and implement policies and procedures.</w:t>
      </w:r>
    </w:p>
    <w:p w14:paraId="50EA2FDF" w14:textId="69F47089" w:rsidR="0067579C" w:rsidRPr="00A3570F" w:rsidRDefault="0067579C" w:rsidP="00472281">
      <w:pPr>
        <w:rPr>
          <w:sz w:val="22"/>
          <w:szCs w:val="22"/>
          <w:u w:val="single"/>
          <w:lang w:eastAsia="en-AU"/>
        </w:rPr>
      </w:pPr>
      <w:r w:rsidRPr="00A262BE">
        <w:rPr>
          <w:sz w:val="22"/>
          <w:szCs w:val="22"/>
          <w:u w:val="single"/>
          <w:lang w:eastAsia="en-AU"/>
        </w:rPr>
        <w:t>Marketing</w:t>
      </w:r>
    </w:p>
    <w:p w14:paraId="2E60F726" w14:textId="58F64B37" w:rsidR="0067579C" w:rsidRPr="00EB676B" w:rsidRDefault="0067579C" w:rsidP="00472281">
      <w:r w:rsidRPr="00EB676B">
        <w:t>Make promotional information easy to find and absorb. Structure the information well and refer to specific needs. It places a business in the best position to capitalise on visitation.</w:t>
      </w:r>
    </w:p>
    <w:p w14:paraId="6B62A696" w14:textId="5017DA3F" w:rsidR="0067579C" w:rsidRPr="00A3570F" w:rsidRDefault="0067579C" w:rsidP="00472281">
      <w:pPr>
        <w:rPr>
          <w:sz w:val="22"/>
          <w:szCs w:val="22"/>
          <w:u w:val="single"/>
          <w:lang w:eastAsia="en-AU"/>
        </w:rPr>
      </w:pPr>
      <w:r w:rsidRPr="00A262BE">
        <w:rPr>
          <w:sz w:val="22"/>
          <w:szCs w:val="22"/>
          <w:u w:val="single"/>
          <w:lang w:eastAsia="en-AU"/>
        </w:rPr>
        <w:t>Experience</w:t>
      </w:r>
    </w:p>
    <w:p w14:paraId="0195ECF1" w14:textId="6FAF8F7F" w:rsidR="0067579C" w:rsidRDefault="0067579C" w:rsidP="00472281">
      <w:r w:rsidRPr="00EB676B">
        <w:t>Barriers in the physical environment can be challenging and costly to overcome. However, by focusing on the customer experience, a business may find creative ways to work around these challenges.</w:t>
      </w:r>
    </w:p>
    <w:p w14:paraId="658CBBBA" w14:textId="77777777" w:rsidR="00A3570F" w:rsidRDefault="00A3570F">
      <w:pPr>
        <w:spacing w:before="0" w:after="160" w:line="259" w:lineRule="auto"/>
        <w:rPr>
          <w:bCs/>
          <w:color w:val="300050" w:themeColor="text2"/>
          <w:sz w:val="28"/>
          <w:szCs w:val="32"/>
        </w:rPr>
      </w:pPr>
      <w:r>
        <w:br w:type="page"/>
      </w:r>
    </w:p>
    <w:p w14:paraId="581A61EE" w14:textId="3AEAEEF3" w:rsidR="00B9113E" w:rsidRPr="001A4705" w:rsidRDefault="00DA614F" w:rsidP="001A4705">
      <w:pPr>
        <w:pStyle w:val="Heading2"/>
      </w:pPr>
      <w:bookmarkStart w:id="95" w:name="_Toc204158647"/>
      <w:r w:rsidRPr="001A4705">
        <w:lastRenderedPageBreak/>
        <w:t>References</w:t>
      </w:r>
      <w:bookmarkEnd w:id="95"/>
    </w:p>
    <w:p w14:paraId="7E9B6A5D" w14:textId="77777777" w:rsidR="009B2861" w:rsidRPr="009B2861" w:rsidRDefault="009B2861" w:rsidP="009B2861">
      <w:pPr>
        <w:rPr>
          <w:lang w:eastAsia="zh-CN"/>
        </w:rPr>
      </w:pPr>
      <w:hyperlink r:id="rId35" w:history="1">
        <w:r w:rsidRPr="009B2861">
          <w:rPr>
            <w:rStyle w:val="Hyperlink"/>
            <w:lang w:eastAsia="zh-CN"/>
          </w:rPr>
          <w:t>Accessible Tourism Sector - Corporate - Tourism Australia</w:t>
        </w:r>
      </w:hyperlink>
    </w:p>
    <w:p w14:paraId="007C546F" w14:textId="1A7F3404" w:rsidR="00723AC6" w:rsidRDefault="00723AC6" w:rsidP="00723AC6">
      <w:pPr>
        <w:rPr>
          <w:lang w:eastAsia="zh-CN"/>
        </w:rPr>
      </w:pPr>
      <w:r w:rsidRPr="00723AC6">
        <w:rPr>
          <w:lang w:eastAsia="zh-CN"/>
        </w:rPr>
        <w:t>Tourism Research Australia, NVS data, 2024; Australian Bureau of Statistics (September 2024), </w:t>
      </w:r>
      <w:hyperlink r:id="rId36" w:history="1">
        <w:r w:rsidRPr="00723AC6">
          <w:rPr>
            <w:rStyle w:val="Hyperlink"/>
            <w:lang w:eastAsia="zh-CN"/>
          </w:rPr>
          <w:t>National, state and territory population</w:t>
        </w:r>
      </w:hyperlink>
      <w:r w:rsidRPr="00723AC6">
        <w:rPr>
          <w:lang w:eastAsia="zh-CN"/>
        </w:rPr>
        <w:t>, ABS Website, accessed 16 June 2025</w:t>
      </w:r>
    </w:p>
    <w:p w14:paraId="790DB7EC" w14:textId="61FF1221" w:rsidR="00685F93" w:rsidRPr="00685F93" w:rsidRDefault="00685F93" w:rsidP="00685F93">
      <w:r w:rsidRPr="00685F93">
        <w:t>Australian Bureau of Statistics (2022), Disability,</w:t>
      </w:r>
      <w:r>
        <w:t xml:space="preserve"> </w:t>
      </w:r>
      <w:r w:rsidRPr="00685F93">
        <w:t>Ageing and Carers, Australia: Summary of Findings,</w:t>
      </w:r>
      <w:r>
        <w:t xml:space="preserve"> </w:t>
      </w:r>
      <w:r w:rsidRPr="00685F93">
        <w:t>2022 | Australian Bureau of Statistics, accessed</w:t>
      </w:r>
      <w:r>
        <w:t xml:space="preserve"> </w:t>
      </w:r>
      <w:r w:rsidRPr="00685F93">
        <w:t>April 2025</w:t>
      </w:r>
    </w:p>
    <w:p w14:paraId="36CEE02A" w14:textId="128E0471" w:rsidR="00685F93" w:rsidRPr="00685F93" w:rsidRDefault="00685F93" w:rsidP="00685F93">
      <w:r w:rsidRPr="00685F93">
        <w:t>Australian Bureau of Statistics (September</w:t>
      </w:r>
      <w:r>
        <w:t xml:space="preserve"> </w:t>
      </w:r>
      <w:r w:rsidRPr="00685F93">
        <w:t>2024), National, state and territory population, ABS</w:t>
      </w:r>
      <w:r>
        <w:t xml:space="preserve"> </w:t>
      </w:r>
      <w:r w:rsidRPr="00685F93">
        <w:t>Website, accessed 16 June 2025</w:t>
      </w:r>
    </w:p>
    <w:p w14:paraId="3FB23109" w14:textId="44DFA48A" w:rsidR="00685F93" w:rsidRPr="00685F93" w:rsidRDefault="00685F93" w:rsidP="00685F93">
      <w:r w:rsidRPr="00685F93">
        <w:t>Dept of Social Services (2024), Australia’s Disability</w:t>
      </w:r>
      <w:r>
        <w:t xml:space="preserve"> </w:t>
      </w:r>
      <w:r w:rsidRPr="00685F93">
        <w:t>Strategy 2021 – 2031. Commonwealth of Australia</w:t>
      </w:r>
      <w:r>
        <w:t xml:space="preserve"> </w:t>
      </w:r>
      <w:r w:rsidRPr="00685F93">
        <w:t>(Department of Social Services) 2024</w:t>
      </w:r>
    </w:p>
    <w:p w14:paraId="169F959E" w14:textId="6B3F9349" w:rsidR="00685F93" w:rsidRPr="00685F93" w:rsidRDefault="00685F93" w:rsidP="00685F93">
      <w:r w:rsidRPr="00685F93">
        <w:t xml:space="preserve">Martin-Fuentes, E., Mostafa-Shaalan, S., &amp; </w:t>
      </w:r>
      <w:proofErr w:type="spellStart"/>
      <w:r w:rsidRPr="00685F93">
        <w:t>Mellinas</w:t>
      </w:r>
      <w:proofErr w:type="spellEnd"/>
      <w:r w:rsidRPr="00685F93">
        <w:t>,</w:t>
      </w:r>
      <w:r>
        <w:t xml:space="preserve"> </w:t>
      </w:r>
      <w:r w:rsidRPr="00685F93">
        <w:t>J. P. (2021). Accessibility in Inclusive Tourism? Hotels</w:t>
      </w:r>
      <w:r>
        <w:t xml:space="preserve"> </w:t>
      </w:r>
      <w:r w:rsidRPr="00685F93">
        <w:t>Distributed through Online Channels. Societies, 11(2),</w:t>
      </w:r>
      <w:r>
        <w:t xml:space="preserve"> </w:t>
      </w:r>
      <w:r w:rsidRPr="00685F93">
        <w:t>34.</w:t>
      </w:r>
      <w:r>
        <w:t xml:space="preserve"> </w:t>
      </w:r>
      <w:r w:rsidRPr="00685F93">
        <w:t>https://doi.org/10.3390/soc11020034. Accessed</w:t>
      </w:r>
      <w:r>
        <w:t xml:space="preserve"> </w:t>
      </w:r>
      <w:r w:rsidRPr="00685F93">
        <w:t>10 June 2025</w:t>
      </w:r>
    </w:p>
    <w:p w14:paraId="3EF51FE9" w14:textId="5A676758" w:rsidR="008D70A3" w:rsidRDefault="00685F93" w:rsidP="003B6560">
      <w:r w:rsidRPr="00685F93">
        <w:t>Tourism Research Australia, NVS data, 2024</w:t>
      </w:r>
      <w:r w:rsidR="008D70A3">
        <w:t xml:space="preserve">; </w:t>
      </w:r>
      <w:r w:rsidRPr="00685F93">
        <w:t>Australian Bureau of Statistics (September</w:t>
      </w:r>
      <w:r w:rsidR="008D70A3">
        <w:t xml:space="preserve"> </w:t>
      </w:r>
      <w:r w:rsidRPr="00685F93">
        <w:t>2024), National, state and territory population,</w:t>
      </w:r>
      <w:r w:rsidR="003B6560">
        <w:t xml:space="preserve"> </w:t>
      </w:r>
      <w:r w:rsidR="003B6560" w:rsidRPr="003B6560">
        <w:t>ABS</w:t>
      </w:r>
      <w:r w:rsidR="003B6560">
        <w:t xml:space="preserve"> </w:t>
      </w:r>
      <w:r w:rsidR="003B6560" w:rsidRPr="003B6560">
        <w:t>Website, accessed 16 June 2025</w:t>
      </w:r>
    </w:p>
    <w:p w14:paraId="25494290" w14:textId="77777777" w:rsidR="003B6560" w:rsidRPr="00723AC6" w:rsidRDefault="003B6560" w:rsidP="003B6560">
      <w:pPr>
        <w:rPr>
          <w:lang w:eastAsia="zh-CN"/>
        </w:rPr>
      </w:pPr>
      <w:r w:rsidRPr="00D550FD">
        <w:rPr>
          <w:lang w:eastAsia="zh-CN"/>
        </w:rPr>
        <w:t>Tourism Australia: Consumer Demand Project 2024</w:t>
      </w:r>
    </w:p>
    <w:p w14:paraId="068B48E9" w14:textId="77777777" w:rsidR="003B6560" w:rsidRDefault="003B6560" w:rsidP="003B6560">
      <w:pPr>
        <w:rPr>
          <w:lang w:eastAsia="zh-CN"/>
        </w:rPr>
      </w:pPr>
      <w:r w:rsidRPr="00507391">
        <w:rPr>
          <w:lang w:eastAsia="zh-CN"/>
        </w:rPr>
        <w:t>Tourism Research Australia, IVS and NVS data, 2024.</w:t>
      </w:r>
    </w:p>
    <w:p w14:paraId="273F13C7" w14:textId="577502B1" w:rsidR="008D70A3" w:rsidRDefault="008D70A3" w:rsidP="008D70A3">
      <w:r w:rsidRPr="008D70A3">
        <w:t xml:space="preserve"> </w:t>
      </w:r>
      <w:hyperlink r:id="rId37" w:history="1">
        <w:r w:rsidRPr="006026FF">
          <w:rPr>
            <w:rStyle w:val="Hyperlink"/>
            <w:lang w:eastAsia="zh-CN"/>
          </w:rPr>
          <w:t>The WELCOME Framework | Austrade</w:t>
        </w:r>
      </w:hyperlink>
      <w:r>
        <w:br/>
      </w:r>
    </w:p>
    <w:p w14:paraId="48BF1831" w14:textId="39E68EF0" w:rsidR="004459CB" w:rsidRDefault="004459CB" w:rsidP="00685F93">
      <w:r>
        <w:br w:type="page"/>
      </w:r>
    </w:p>
    <w:p w14:paraId="0C7BD4EB" w14:textId="77777777" w:rsidR="004459CB" w:rsidRPr="004459CB" w:rsidRDefault="004459CB" w:rsidP="004459CB">
      <w:pPr>
        <w:pStyle w:val="Heading2"/>
        <w:rPr>
          <w:lang w:val="pt-PT"/>
        </w:rPr>
      </w:pPr>
      <w:bookmarkStart w:id="96" w:name="_Toc204158648"/>
      <w:r w:rsidRPr="004459CB">
        <w:rPr>
          <w:lang w:val="pt-PT"/>
        </w:rPr>
        <w:lastRenderedPageBreak/>
        <w:t>Appendix 1: Categories of accessible needs captured in the IVS and NVS questionnaires</w:t>
      </w:r>
      <w:bookmarkEnd w:id="96"/>
    </w:p>
    <w:p w14:paraId="0D77E35B" w14:textId="77777777" w:rsidR="00362A20" w:rsidRPr="00362A20" w:rsidRDefault="00362A20" w:rsidP="00362A20">
      <w:pPr>
        <w:rPr>
          <w:lang w:eastAsia="zh-CN"/>
        </w:rPr>
      </w:pPr>
      <w:r w:rsidRPr="00362A20">
        <w:rPr>
          <w:lang w:eastAsia="zh-CN"/>
        </w:rPr>
        <w:t>Data presented in this report is based on responses to the National Visitor Survey (NVS) and International Visitor Survey (IVS) for those who identified with at least one of the categories shown on this page.</w:t>
      </w:r>
    </w:p>
    <w:p w14:paraId="4B59CBD0" w14:textId="77777777" w:rsidR="00362A20" w:rsidRPr="00362A20" w:rsidRDefault="00362A20" w:rsidP="00362A20">
      <w:pPr>
        <w:rPr>
          <w:lang w:eastAsia="zh-CN"/>
        </w:rPr>
      </w:pPr>
      <w:r w:rsidRPr="00362A20">
        <w:rPr>
          <w:lang w:eastAsia="zh-CN"/>
        </w:rPr>
        <w:t>The 3 most common conditions of travellers with accessible needs identified in survey responses were chemical sensitivity or food allergies, mental health conditions, and requiring other mobility aids or have other mobility limitations.</w:t>
      </w:r>
    </w:p>
    <w:p w14:paraId="039868F6" w14:textId="77777777" w:rsidR="00D0505B" w:rsidRPr="00D0505B" w:rsidRDefault="00D0505B" w:rsidP="00D0505B">
      <w:pPr>
        <w:rPr>
          <w:lang w:eastAsia="zh-CN"/>
        </w:rPr>
      </w:pPr>
      <w:r w:rsidRPr="00D0505B">
        <w:rPr>
          <w:lang w:eastAsia="zh-CN"/>
        </w:rPr>
        <w:t xml:space="preserve">In 2024, IVS and NVS Survey respondents were asked the following question: </w:t>
      </w:r>
    </w:p>
    <w:p w14:paraId="08FF53D4" w14:textId="77777777" w:rsidR="00D0505B" w:rsidRPr="00D0505B" w:rsidRDefault="00D0505B" w:rsidP="00D0505B">
      <w:pPr>
        <w:rPr>
          <w:lang w:eastAsia="zh-CN"/>
        </w:rPr>
      </w:pPr>
      <w:r w:rsidRPr="00D0505B">
        <w:rPr>
          <w:i/>
          <w:iCs/>
          <w:lang w:eastAsia="zh-CN"/>
        </w:rPr>
        <w:t>Which, if any, of the following health conditions do you or any other person who went with you on the trips within Australia we talked about today have? (Multiple responses allowed)</w:t>
      </w:r>
    </w:p>
    <w:p w14:paraId="463F90CE" w14:textId="77777777" w:rsidR="00D0505B" w:rsidRPr="00D0505B" w:rsidRDefault="00D0505B" w:rsidP="00D0505B">
      <w:pPr>
        <w:numPr>
          <w:ilvl w:val="0"/>
          <w:numId w:val="49"/>
        </w:numPr>
        <w:spacing w:line="240" w:lineRule="auto"/>
        <w:ind w:left="714" w:hanging="357"/>
        <w:rPr>
          <w:lang w:eastAsia="zh-CN"/>
        </w:rPr>
      </w:pPr>
      <w:r w:rsidRPr="00D0505B">
        <w:rPr>
          <w:lang w:eastAsia="zh-CN"/>
        </w:rPr>
        <w:t>Vision impairment (not corrected by glasses or contact lenses)</w:t>
      </w:r>
    </w:p>
    <w:p w14:paraId="0FA30FCC" w14:textId="77777777" w:rsidR="00D0505B" w:rsidRPr="00D0505B" w:rsidRDefault="00D0505B" w:rsidP="00D0505B">
      <w:pPr>
        <w:numPr>
          <w:ilvl w:val="0"/>
          <w:numId w:val="49"/>
        </w:numPr>
        <w:spacing w:line="240" w:lineRule="auto"/>
        <w:ind w:left="714" w:hanging="357"/>
        <w:rPr>
          <w:lang w:eastAsia="zh-CN"/>
        </w:rPr>
      </w:pPr>
      <w:r w:rsidRPr="00D0505B">
        <w:rPr>
          <w:lang w:eastAsia="zh-CN"/>
        </w:rPr>
        <w:t>Hearing impairment</w:t>
      </w:r>
    </w:p>
    <w:p w14:paraId="7DA1BA3B" w14:textId="77777777" w:rsidR="00D0505B" w:rsidRPr="00D0505B" w:rsidRDefault="00D0505B" w:rsidP="00D0505B">
      <w:pPr>
        <w:numPr>
          <w:ilvl w:val="0"/>
          <w:numId w:val="49"/>
        </w:numPr>
        <w:spacing w:line="240" w:lineRule="auto"/>
        <w:ind w:left="714" w:hanging="357"/>
        <w:rPr>
          <w:lang w:eastAsia="zh-CN"/>
        </w:rPr>
      </w:pPr>
      <w:r w:rsidRPr="00D0505B">
        <w:rPr>
          <w:lang w:eastAsia="zh-CN"/>
        </w:rPr>
        <w:t>Require wheelchair or scooter</w:t>
      </w:r>
    </w:p>
    <w:p w14:paraId="40726152" w14:textId="77777777" w:rsidR="00D0505B" w:rsidRPr="00D0505B" w:rsidRDefault="00D0505B" w:rsidP="00D0505B">
      <w:pPr>
        <w:numPr>
          <w:ilvl w:val="0"/>
          <w:numId w:val="49"/>
        </w:numPr>
        <w:spacing w:line="240" w:lineRule="auto"/>
        <w:ind w:left="714" w:hanging="357"/>
        <w:rPr>
          <w:lang w:eastAsia="zh-CN"/>
        </w:rPr>
      </w:pPr>
      <w:r w:rsidRPr="00D0505B">
        <w:rPr>
          <w:lang w:eastAsia="zh-CN"/>
        </w:rPr>
        <w:t>Require other mobility aids or have other mobility limitations</w:t>
      </w:r>
    </w:p>
    <w:p w14:paraId="7F0C523D" w14:textId="77777777" w:rsidR="00D0505B" w:rsidRPr="00D0505B" w:rsidRDefault="00D0505B" w:rsidP="00D0505B">
      <w:pPr>
        <w:numPr>
          <w:ilvl w:val="0"/>
          <w:numId w:val="49"/>
        </w:numPr>
        <w:spacing w:line="240" w:lineRule="auto"/>
        <w:ind w:left="714" w:hanging="357"/>
        <w:rPr>
          <w:lang w:eastAsia="zh-CN"/>
        </w:rPr>
      </w:pPr>
      <w:r w:rsidRPr="00D0505B">
        <w:rPr>
          <w:lang w:eastAsia="zh-CN"/>
        </w:rPr>
        <w:t>Difficulty understanding or learning</w:t>
      </w:r>
    </w:p>
    <w:p w14:paraId="16BBEAFE" w14:textId="77777777" w:rsidR="00D0505B" w:rsidRPr="00D0505B" w:rsidRDefault="00D0505B" w:rsidP="00D0505B">
      <w:pPr>
        <w:numPr>
          <w:ilvl w:val="0"/>
          <w:numId w:val="49"/>
        </w:numPr>
        <w:spacing w:line="240" w:lineRule="auto"/>
        <w:ind w:left="714" w:hanging="357"/>
        <w:rPr>
          <w:lang w:eastAsia="zh-CN"/>
        </w:rPr>
      </w:pPr>
      <w:r w:rsidRPr="00D0505B">
        <w:rPr>
          <w:lang w:eastAsia="zh-CN"/>
        </w:rPr>
        <w:t>Mental health condition</w:t>
      </w:r>
    </w:p>
    <w:p w14:paraId="4232DD6D" w14:textId="77777777" w:rsidR="00D0505B" w:rsidRPr="00D0505B" w:rsidRDefault="00D0505B" w:rsidP="00D0505B">
      <w:pPr>
        <w:numPr>
          <w:ilvl w:val="0"/>
          <w:numId w:val="49"/>
        </w:numPr>
        <w:spacing w:line="240" w:lineRule="auto"/>
        <w:ind w:left="714" w:hanging="357"/>
        <w:rPr>
          <w:lang w:eastAsia="zh-CN"/>
        </w:rPr>
      </w:pPr>
      <w:r w:rsidRPr="00D0505B">
        <w:rPr>
          <w:lang w:eastAsia="zh-CN"/>
        </w:rPr>
        <w:t>Chemical sensitivity or food allergies</w:t>
      </w:r>
    </w:p>
    <w:p w14:paraId="34657F8E" w14:textId="77777777" w:rsidR="00D0505B" w:rsidRPr="00D0505B" w:rsidRDefault="00D0505B" w:rsidP="00D0505B">
      <w:pPr>
        <w:numPr>
          <w:ilvl w:val="0"/>
          <w:numId w:val="49"/>
        </w:numPr>
        <w:spacing w:line="240" w:lineRule="auto"/>
        <w:ind w:left="714" w:hanging="357"/>
        <w:rPr>
          <w:lang w:eastAsia="zh-CN"/>
        </w:rPr>
      </w:pPr>
      <w:r w:rsidRPr="00D0505B">
        <w:rPr>
          <w:lang w:eastAsia="zh-CN"/>
        </w:rPr>
        <w:t>None of the above</w:t>
      </w:r>
    </w:p>
    <w:p w14:paraId="34DB4613" w14:textId="77777777" w:rsidR="00D0505B" w:rsidRPr="00D0505B" w:rsidRDefault="00D0505B" w:rsidP="00D0505B">
      <w:pPr>
        <w:numPr>
          <w:ilvl w:val="0"/>
          <w:numId w:val="49"/>
        </w:numPr>
        <w:spacing w:line="240" w:lineRule="auto"/>
        <w:ind w:left="714" w:hanging="357"/>
        <w:rPr>
          <w:lang w:eastAsia="zh-CN"/>
        </w:rPr>
      </w:pPr>
      <w:r w:rsidRPr="00D0505B">
        <w:rPr>
          <w:lang w:eastAsia="zh-CN"/>
        </w:rPr>
        <w:t>Refused</w:t>
      </w:r>
    </w:p>
    <w:p w14:paraId="5B1C186C" w14:textId="77777777" w:rsidR="00D0505B" w:rsidRPr="00D0505B" w:rsidRDefault="00D0505B" w:rsidP="00D0505B">
      <w:pPr>
        <w:numPr>
          <w:ilvl w:val="0"/>
          <w:numId w:val="49"/>
        </w:numPr>
        <w:spacing w:line="240" w:lineRule="auto"/>
        <w:ind w:left="714" w:hanging="357"/>
        <w:rPr>
          <w:lang w:eastAsia="zh-CN"/>
        </w:rPr>
      </w:pPr>
      <w:r w:rsidRPr="00D0505B">
        <w:rPr>
          <w:lang w:eastAsia="zh-CN"/>
        </w:rPr>
        <w:t>Don’t know</w:t>
      </w:r>
    </w:p>
    <w:p w14:paraId="5BF3CBB4" w14:textId="77777777" w:rsidR="004459CB" w:rsidRPr="00245E86" w:rsidRDefault="004459CB" w:rsidP="006026FF">
      <w:pPr>
        <w:rPr>
          <w:lang w:eastAsia="zh-CN"/>
        </w:rPr>
      </w:pPr>
    </w:p>
    <w:sectPr w:rsidR="004459CB" w:rsidRPr="00245E86" w:rsidSect="00B55852">
      <w:headerReference w:type="even" r:id="rId38"/>
      <w:headerReference w:type="default" r:id="rId39"/>
      <w:footerReference w:type="even" r:id="rId40"/>
      <w:footerReference w:type="default" r:id="rId41"/>
      <w:headerReference w:type="first" r:id="rId42"/>
      <w:footerReference w:type="first" r:id="rId43"/>
      <w:pgSz w:w="11906" w:h="16838"/>
      <w:pgMar w:top="851" w:right="945" w:bottom="993" w:left="993" w:header="708" w:footer="36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B37AF" w14:textId="77777777" w:rsidR="00F51340" w:rsidRDefault="00F51340" w:rsidP="007B0021">
      <w:r>
        <w:separator/>
      </w:r>
    </w:p>
    <w:p w14:paraId="7813E726" w14:textId="77777777" w:rsidR="00F51340" w:rsidRDefault="00F51340" w:rsidP="007B0021"/>
  </w:endnote>
  <w:endnote w:type="continuationSeparator" w:id="0">
    <w:p w14:paraId="072D618C" w14:textId="77777777" w:rsidR="00F51340" w:rsidRDefault="00F51340" w:rsidP="007B0021">
      <w:r>
        <w:continuationSeparator/>
      </w:r>
    </w:p>
    <w:p w14:paraId="7303E929" w14:textId="77777777" w:rsidR="00F51340" w:rsidRDefault="00F51340" w:rsidP="007B00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U Sans BETA Text Medium">
    <w:panose1 w:val="00000000000000000000"/>
    <w:charset w:val="00"/>
    <w:family w:val="modern"/>
    <w:notTrueType/>
    <w:pitch w:val="variable"/>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AU Sans BETA Text Light">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5A8F5" w14:textId="6B523554" w:rsidR="00710296" w:rsidRDefault="00710296">
    <w:pPr>
      <w:pStyle w:val="Footer"/>
    </w:pPr>
    <w:r>
      <w:rPr>
        <w:noProof/>
      </w:rPr>
      <mc:AlternateContent>
        <mc:Choice Requires="wps">
          <w:drawing>
            <wp:anchor distT="0" distB="0" distL="0" distR="0" simplePos="0" relativeHeight="251658244" behindDoc="0" locked="0" layoutInCell="1" allowOverlap="1" wp14:anchorId="4BD4D59F" wp14:editId="4ED3118B">
              <wp:simplePos x="635" y="635"/>
              <wp:positionH relativeFrom="page">
                <wp:align>center</wp:align>
              </wp:positionH>
              <wp:positionV relativeFrom="page">
                <wp:align>bottom</wp:align>
              </wp:positionV>
              <wp:extent cx="551815" cy="508000"/>
              <wp:effectExtent l="0" t="0" r="635" b="0"/>
              <wp:wrapNone/>
              <wp:docPr id="588126322"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1872D669" w14:textId="089835DE" w:rsidR="00710296" w:rsidRPr="00710296" w:rsidRDefault="00710296" w:rsidP="00710296">
                          <w:pPr>
                            <w:spacing w:after="0"/>
                            <w:rPr>
                              <w:rFonts w:ascii="Calibri" w:eastAsia="Calibri" w:hAnsi="Calibri" w:cs="Calibri"/>
                              <w:noProof/>
                              <w:color w:val="FF0000"/>
                              <w:sz w:val="24"/>
                              <w:szCs w:val="24"/>
                            </w:rPr>
                          </w:pPr>
                          <w:r w:rsidRPr="0071029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D4D59F" id="_x0000_t202" coordsize="21600,21600" o:spt="202" path="m,l,21600r21600,l21600,xe">
              <v:stroke joinstyle="miter"/>
              <v:path gradientshapeok="t" o:connecttype="rect"/>
            </v:shapetype>
            <v:shape id="Text Box 13" o:spid="_x0000_s1028" type="#_x0000_t202" alt="OFFICIAL" style="position:absolute;margin-left:0;margin-top:0;width:43.45pt;height:40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" filled="f" stroked="f">
              <v:textbox style="mso-fit-shape-to-text:t" inset="0,0,0,15pt">
                <w:txbxContent>
                  <w:p w14:paraId="1872D669" w14:textId="089835DE" w:rsidR="00710296" w:rsidRPr="00710296" w:rsidRDefault="00710296" w:rsidP="00710296">
                    <w:pPr>
                      <w:spacing w:after="0"/>
                      <w:rPr>
                        <w:rFonts w:ascii="Calibri" w:eastAsia="Calibri" w:hAnsi="Calibri" w:cs="Calibri"/>
                        <w:noProof/>
                        <w:color w:val="FF0000"/>
                        <w:sz w:val="24"/>
                        <w:szCs w:val="24"/>
                      </w:rPr>
                    </w:pPr>
                    <w:r w:rsidRPr="00710296">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109EB" w14:textId="63FDAD09" w:rsidR="00710296" w:rsidRDefault="00710296">
    <w:pPr>
      <w:pStyle w:val="Footer"/>
    </w:pPr>
    <w:r>
      <w:rPr>
        <w:noProof/>
      </w:rPr>
      <mc:AlternateContent>
        <mc:Choice Requires="wps">
          <w:drawing>
            <wp:anchor distT="0" distB="0" distL="0" distR="0" simplePos="0" relativeHeight="251658245" behindDoc="0" locked="0" layoutInCell="1" allowOverlap="1" wp14:anchorId="15E41314" wp14:editId="40F22BE4">
              <wp:simplePos x="635" y="635"/>
              <wp:positionH relativeFrom="page">
                <wp:align>center</wp:align>
              </wp:positionH>
              <wp:positionV relativeFrom="page">
                <wp:align>bottom</wp:align>
              </wp:positionV>
              <wp:extent cx="551815" cy="508000"/>
              <wp:effectExtent l="0" t="0" r="635" b="0"/>
              <wp:wrapNone/>
              <wp:docPr id="2056504734"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6AE47B01" w14:textId="5A4FB2DF" w:rsidR="00710296" w:rsidRPr="00710296" w:rsidRDefault="00710296" w:rsidP="00710296">
                          <w:pPr>
                            <w:spacing w:after="0"/>
                            <w:rPr>
                              <w:rFonts w:ascii="Calibri" w:eastAsia="Calibri" w:hAnsi="Calibri" w:cs="Calibri"/>
                              <w:noProof/>
                              <w:color w:val="FF0000"/>
                              <w:sz w:val="24"/>
                              <w:szCs w:val="24"/>
                            </w:rPr>
                          </w:pPr>
                          <w:r w:rsidRPr="0071029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E41314" id="_x0000_t202" coordsize="21600,21600" o:spt="202" path="m,l,21600r21600,l21600,xe">
              <v:stroke joinstyle="miter"/>
              <v:path gradientshapeok="t" o:connecttype="rect"/>
            </v:shapetype>
            <v:shape id="Text Box 14" o:spid="_x0000_s1029" type="#_x0000_t202" alt="OFFICIAL" style="position:absolute;margin-left:0;margin-top:0;width:43.45pt;height:40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" filled="f" stroked="f">
              <v:textbox style="mso-fit-shape-to-text:t" inset="0,0,0,15pt">
                <w:txbxContent>
                  <w:p w14:paraId="6AE47B01" w14:textId="5A4FB2DF" w:rsidR="00710296" w:rsidRPr="00710296" w:rsidRDefault="00710296" w:rsidP="00710296">
                    <w:pPr>
                      <w:spacing w:after="0"/>
                      <w:rPr>
                        <w:rFonts w:ascii="Calibri" w:eastAsia="Calibri" w:hAnsi="Calibri" w:cs="Calibri"/>
                        <w:noProof/>
                        <w:color w:val="FF0000"/>
                        <w:sz w:val="24"/>
                        <w:szCs w:val="24"/>
                      </w:rPr>
                    </w:pPr>
                    <w:r w:rsidRPr="00710296">
                      <w:rPr>
                        <w:rFonts w:ascii="Calibri" w:eastAsia="Calibri" w:hAnsi="Calibri" w:cs="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E9DDE" w14:textId="6D425285" w:rsidR="00710296" w:rsidRDefault="00710296">
    <w:pPr>
      <w:pStyle w:val="Footer"/>
    </w:pPr>
    <w:r>
      <w:rPr>
        <w:noProof/>
      </w:rPr>
      <mc:AlternateContent>
        <mc:Choice Requires="wps">
          <w:drawing>
            <wp:anchor distT="0" distB="0" distL="0" distR="0" simplePos="0" relativeHeight="251658243" behindDoc="0" locked="0" layoutInCell="1" allowOverlap="1" wp14:anchorId="2464A052" wp14:editId="1147EB68">
              <wp:simplePos x="635" y="635"/>
              <wp:positionH relativeFrom="page">
                <wp:align>center</wp:align>
              </wp:positionH>
              <wp:positionV relativeFrom="page">
                <wp:align>bottom</wp:align>
              </wp:positionV>
              <wp:extent cx="551815" cy="508000"/>
              <wp:effectExtent l="0" t="0" r="635" b="0"/>
              <wp:wrapNone/>
              <wp:docPr id="726605588"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64A28CB4" w14:textId="4AFCBA18" w:rsidR="00710296" w:rsidRPr="00710296" w:rsidRDefault="00710296" w:rsidP="00710296">
                          <w:pPr>
                            <w:spacing w:after="0"/>
                            <w:rPr>
                              <w:rFonts w:ascii="Calibri" w:eastAsia="Calibri" w:hAnsi="Calibri" w:cs="Calibri"/>
                              <w:noProof/>
                              <w:color w:val="FF0000"/>
                              <w:sz w:val="24"/>
                              <w:szCs w:val="24"/>
                            </w:rPr>
                          </w:pPr>
                          <w:r w:rsidRPr="0071029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64A052" id="_x0000_t202" coordsize="21600,21600" o:spt="202" path="m,l,21600r21600,l21600,xe">
              <v:stroke joinstyle="miter"/>
              <v:path gradientshapeok="t" o:connecttype="rect"/>
            </v:shapetype>
            <v:shape id="Text Box 12" o:spid="_x0000_s1031" type="#_x0000_t202" alt="OFFICIAL" style="position:absolute;margin-left:0;margin-top:0;width:43.45pt;height:40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" filled="f" stroked="f">
              <v:textbox style="mso-fit-shape-to-text:t" inset="0,0,0,15pt">
                <w:txbxContent>
                  <w:p w14:paraId="64A28CB4" w14:textId="4AFCBA18" w:rsidR="00710296" w:rsidRPr="00710296" w:rsidRDefault="00710296" w:rsidP="00710296">
                    <w:pPr>
                      <w:spacing w:after="0"/>
                      <w:rPr>
                        <w:rFonts w:ascii="Calibri" w:eastAsia="Calibri" w:hAnsi="Calibri" w:cs="Calibri"/>
                        <w:noProof/>
                        <w:color w:val="FF0000"/>
                        <w:sz w:val="24"/>
                        <w:szCs w:val="24"/>
                      </w:rPr>
                    </w:pPr>
                    <w:r w:rsidRPr="00710296">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C8FC6" w14:textId="77777777" w:rsidR="00F51340" w:rsidRDefault="00F51340" w:rsidP="007B0021">
      <w:r>
        <w:separator/>
      </w:r>
    </w:p>
    <w:p w14:paraId="0E44539C" w14:textId="77777777" w:rsidR="00F51340" w:rsidRDefault="00F51340" w:rsidP="007B0021"/>
  </w:footnote>
  <w:footnote w:type="continuationSeparator" w:id="0">
    <w:p w14:paraId="624EA6C7" w14:textId="77777777" w:rsidR="00F51340" w:rsidRDefault="00F51340" w:rsidP="007B0021">
      <w:r>
        <w:continuationSeparator/>
      </w:r>
    </w:p>
    <w:p w14:paraId="7E611AF2" w14:textId="77777777" w:rsidR="00F51340" w:rsidRDefault="00F51340" w:rsidP="007B0021"/>
  </w:footnote>
  <w:footnote w:id="1">
    <w:p w14:paraId="35C501F3" w14:textId="23544499" w:rsidR="005201A3" w:rsidRDefault="005201A3">
      <w:pPr>
        <w:pStyle w:val="FootnoteText"/>
      </w:pPr>
      <w:r>
        <w:rPr>
          <w:rStyle w:val="FootnoteReference"/>
        </w:rPr>
        <w:footnoteRef/>
      </w:r>
      <w:r w:rsidRPr="005201A3">
        <w:t xml:space="preserve"> Australian Bureau of Statistics (2022), Disability, Ageing and Carers, Australia: Summary of Findings, 2022 | Australian Bureau of Statistics, accessed April 2025. </w:t>
      </w:r>
    </w:p>
  </w:footnote>
  <w:footnote w:id="2">
    <w:p w14:paraId="4667B121" w14:textId="093542E6" w:rsidR="005201A3" w:rsidRDefault="005201A3">
      <w:pPr>
        <w:pStyle w:val="FootnoteText"/>
      </w:pPr>
      <w:r>
        <w:rPr>
          <w:rStyle w:val="FootnoteReference"/>
        </w:rPr>
        <w:footnoteRef/>
      </w:r>
      <w:r>
        <w:t xml:space="preserve"> </w:t>
      </w:r>
      <w:r w:rsidRPr="005201A3">
        <w:t>The Strategy and supporting documents | Disability Gateway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C6730" w14:textId="50BC94C2" w:rsidR="00710296" w:rsidRDefault="00710296">
    <w:pPr>
      <w:pStyle w:val="Header"/>
    </w:pPr>
    <w:r>
      <w:rPr>
        <w:noProof/>
      </w:rPr>
      <mc:AlternateContent>
        <mc:Choice Requires="wps">
          <w:drawing>
            <wp:anchor distT="0" distB="0" distL="0" distR="0" simplePos="0" relativeHeight="251658241" behindDoc="0" locked="0" layoutInCell="1" allowOverlap="1" wp14:anchorId="6DA3B2B6" wp14:editId="3FF01E81">
              <wp:simplePos x="635" y="635"/>
              <wp:positionH relativeFrom="page">
                <wp:align>center</wp:align>
              </wp:positionH>
              <wp:positionV relativeFrom="page">
                <wp:align>top</wp:align>
              </wp:positionV>
              <wp:extent cx="551815" cy="508000"/>
              <wp:effectExtent l="0" t="0" r="635" b="6350"/>
              <wp:wrapNone/>
              <wp:docPr id="1760978901"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6471BB69" w14:textId="7A2F976A" w:rsidR="00710296" w:rsidRPr="00710296" w:rsidRDefault="00710296" w:rsidP="00710296">
                          <w:pPr>
                            <w:spacing w:after="0"/>
                            <w:rPr>
                              <w:rFonts w:ascii="Calibri" w:eastAsia="Calibri" w:hAnsi="Calibri" w:cs="Calibri"/>
                              <w:noProof/>
                              <w:color w:val="FF0000"/>
                              <w:sz w:val="24"/>
                              <w:szCs w:val="24"/>
                            </w:rPr>
                          </w:pPr>
                          <w:r w:rsidRPr="0071029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A3B2B6" id="_x0000_t202" coordsize="21600,21600" o:spt="202" path="m,l,21600r21600,l21600,xe">
              <v:stroke joinstyle="miter"/>
              <v:path gradientshapeok="t" o:connecttype="rect"/>
            </v:shapetype>
            <v:shape id="Text Box 7" o:spid="_x0000_s1026" type="#_x0000_t202" alt="OFFICIAL" style="position:absolute;margin-left:0;margin-top:0;width:43.45pt;height:40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" filled="f" stroked="f">
              <v:textbox style="mso-fit-shape-to-text:t" inset="0,15pt,0,0">
                <w:txbxContent>
                  <w:p w14:paraId="6471BB69" w14:textId="7A2F976A" w:rsidR="00710296" w:rsidRPr="00710296" w:rsidRDefault="00710296" w:rsidP="00710296">
                    <w:pPr>
                      <w:spacing w:after="0"/>
                      <w:rPr>
                        <w:rFonts w:ascii="Calibri" w:eastAsia="Calibri" w:hAnsi="Calibri" w:cs="Calibri"/>
                        <w:noProof/>
                        <w:color w:val="FF0000"/>
                        <w:sz w:val="24"/>
                        <w:szCs w:val="24"/>
                      </w:rPr>
                    </w:pPr>
                    <w:r w:rsidRPr="00710296">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0D81E" w14:textId="18E354ED" w:rsidR="00710296" w:rsidRDefault="00710296">
    <w:pPr>
      <w:pStyle w:val="Header"/>
    </w:pPr>
    <w:r>
      <w:rPr>
        <w:noProof/>
      </w:rPr>
      <mc:AlternateContent>
        <mc:Choice Requires="wps">
          <w:drawing>
            <wp:anchor distT="0" distB="0" distL="0" distR="0" simplePos="0" relativeHeight="251658242" behindDoc="0" locked="0" layoutInCell="1" allowOverlap="1" wp14:anchorId="643DBDD2" wp14:editId="1F4E3151">
              <wp:simplePos x="635" y="635"/>
              <wp:positionH relativeFrom="page">
                <wp:align>center</wp:align>
              </wp:positionH>
              <wp:positionV relativeFrom="page">
                <wp:align>top</wp:align>
              </wp:positionV>
              <wp:extent cx="551815" cy="508000"/>
              <wp:effectExtent l="0" t="0" r="635" b="6350"/>
              <wp:wrapNone/>
              <wp:docPr id="1063985902"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6707238D" w14:textId="17EBD3C8" w:rsidR="00710296" w:rsidRPr="00710296" w:rsidRDefault="00710296" w:rsidP="00710296">
                          <w:pPr>
                            <w:spacing w:after="0"/>
                            <w:rPr>
                              <w:rFonts w:ascii="Calibri" w:eastAsia="Calibri" w:hAnsi="Calibri" w:cs="Calibri"/>
                              <w:noProof/>
                              <w:color w:val="FF0000"/>
                              <w:sz w:val="24"/>
                              <w:szCs w:val="24"/>
                            </w:rPr>
                          </w:pPr>
                          <w:r w:rsidRPr="0071029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3DBDD2" id="_x0000_t202" coordsize="21600,21600" o:spt="202" path="m,l,21600r21600,l21600,xe">
              <v:stroke joinstyle="miter"/>
              <v:path gradientshapeok="t" o:connecttype="rect"/>
            </v:shapetype>
            <v:shape id="Text Box 8" o:spid="_x0000_s1027" type="#_x0000_t202" alt="OFFICIAL" style="position:absolute;margin-left:0;margin-top:0;width:43.45pt;height:40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" filled="f" stroked="f">
              <v:textbox style="mso-fit-shape-to-text:t" inset="0,15pt,0,0">
                <w:txbxContent>
                  <w:p w14:paraId="6707238D" w14:textId="17EBD3C8" w:rsidR="00710296" w:rsidRPr="00710296" w:rsidRDefault="00710296" w:rsidP="00710296">
                    <w:pPr>
                      <w:spacing w:after="0"/>
                      <w:rPr>
                        <w:rFonts w:ascii="Calibri" w:eastAsia="Calibri" w:hAnsi="Calibri" w:cs="Calibri"/>
                        <w:noProof/>
                        <w:color w:val="FF0000"/>
                        <w:sz w:val="24"/>
                        <w:szCs w:val="24"/>
                      </w:rPr>
                    </w:pPr>
                    <w:r w:rsidRPr="00710296">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E7B89" w14:textId="3CA0AD9C" w:rsidR="003A58AB" w:rsidRDefault="00710296" w:rsidP="007B0021">
    <w:pPr>
      <w:pStyle w:val="Header"/>
    </w:pPr>
    <w:r>
      <w:rPr>
        <w:noProof/>
      </w:rPr>
      <mc:AlternateContent>
        <mc:Choice Requires="wps">
          <w:drawing>
            <wp:anchor distT="0" distB="0" distL="0" distR="0" simplePos="0" relativeHeight="251658240" behindDoc="0" locked="0" layoutInCell="1" allowOverlap="1" wp14:anchorId="7B311262" wp14:editId="03D78253">
              <wp:simplePos x="635" y="635"/>
              <wp:positionH relativeFrom="page">
                <wp:align>center</wp:align>
              </wp:positionH>
              <wp:positionV relativeFrom="page">
                <wp:align>top</wp:align>
              </wp:positionV>
              <wp:extent cx="551815" cy="508000"/>
              <wp:effectExtent l="0" t="0" r="635" b="6350"/>
              <wp:wrapNone/>
              <wp:docPr id="2084030655"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1CE421FE" w14:textId="76F8BD26" w:rsidR="00710296" w:rsidRPr="00710296" w:rsidRDefault="00710296" w:rsidP="00710296">
                          <w:pPr>
                            <w:spacing w:after="0"/>
                            <w:rPr>
                              <w:rFonts w:ascii="Calibri" w:eastAsia="Calibri" w:hAnsi="Calibri" w:cs="Calibri"/>
                              <w:noProof/>
                              <w:color w:val="FF0000"/>
                              <w:sz w:val="24"/>
                              <w:szCs w:val="24"/>
                            </w:rPr>
                          </w:pPr>
                          <w:r w:rsidRPr="0071029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311262" id="_x0000_t202" coordsize="21600,21600" o:spt="202" path="m,l,21600r21600,l21600,xe">
              <v:stroke joinstyle="miter"/>
              <v:path gradientshapeok="t" o:connecttype="rect"/>
            </v:shapetype>
            <v:shape id="Text Box 6" o:spid="_x0000_s1030" type="#_x0000_t202" alt="OFFICIAL" style="position:absolute;margin-left:0;margin-top:0;width:43.45pt;height:40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" filled="f" stroked="f">
              <v:textbox style="mso-fit-shape-to-text:t" inset="0,15pt,0,0">
                <w:txbxContent>
                  <w:p w14:paraId="1CE421FE" w14:textId="76F8BD26" w:rsidR="00710296" w:rsidRPr="00710296" w:rsidRDefault="00710296" w:rsidP="00710296">
                    <w:pPr>
                      <w:spacing w:after="0"/>
                      <w:rPr>
                        <w:rFonts w:ascii="Calibri" w:eastAsia="Calibri" w:hAnsi="Calibri" w:cs="Calibri"/>
                        <w:noProof/>
                        <w:color w:val="FF0000"/>
                        <w:sz w:val="24"/>
                        <w:szCs w:val="24"/>
                      </w:rPr>
                    </w:pPr>
                    <w:r w:rsidRPr="00710296">
                      <w:rPr>
                        <w:rFonts w:ascii="Calibri" w:eastAsia="Calibri" w:hAnsi="Calibri" w:cs="Calibri"/>
                        <w:noProof/>
                        <w:color w:val="FF0000"/>
                        <w:sz w:val="24"/>
                        <w:szCs w:val="24"/>
                      </w:rPr>
                      <w:t>OFFICIAL</w:t>
                    </w:r>
                  </w:p>
                </w:txbxContent>
              </v:textbox>
              <w10:wrap anchorx="page" anchory="page"/>
            </v:shape>
          </w:pict>
        </mc:Fallback>
      </mc:AlternateContent>
    </w:r>
  </w:p>
  <w:p w14:paraId="42260FC9" w14:textId="77777777" w:rsidR="003A58AB" w:rsidRDefault="003A58AB" w:rsidP="007B00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47C68"/>
    <w:multiLevelType w:val="hybridMultilevel"/>
    <w:tmpl w:val="0400AD6C"/>
    <w:lvl w:ilvl="0" w:tplc="A5148688">
      <w:start w:val="1"/>
      <w:numFmt w:val="decimal"/>
      <w:lvlText w:val="%1."/>
      <w:lvlJc w:val="left"/>
      <w:pPr>
        <w:tabs>
          <w:tab w:val="num" w:pos="720"/>
        </w:tabs>
        <w:ind w:left="720" w:hanging="360"/>
      </w:pPr>
    </w:lvl>
    <w:lvl w:ilvl="1" w:tplc="99E45AAC" w:tentative="1">
      <w:start w:val="1"/>
      <w:numFmt w:val="decimal"/>
      <w:lvlText w:val="%2."/>
      <w:lvlJc w:val="left"/>
      <w:pPr>
        <w:tabs>
          <w:tab w:val="num" w:pos="1440"/>
        </w:tabs>
        <w:ind w:left="1440" w:hanging="360"/>
      </w:pPr>
    </w:lvl>
    <w:lvl w:ilvl="2" w:tplc="F16AF43A" w:tentative="1">
      <w:start w:val="1"/>
      <w:numFmt w:val="decimal"/>
      <w:lvlText w:val="%3."/>
      <w:lvlJc w:val="left"/>
      <w:pPr>
        <w:tabs>
          <w:tab w:val="num" w:pos="2160"/>
        </w:tabs>
        <w:ind w:left="2160" w:hanging="360"/>
      </w:pPr>
    </w:lvl>
    <w:lvl w:ilvl="3" w:tplc="F8E4053A" w:tentative="1">
      <w:start w:val="1"/>
      <w:numFmt w:val="decimal"/>
      <w:lvlText w:val="%4."/>
      <w:lvlJc w:val="left"/>
      <w:pPr>
        <w:tabs>
          <w:tab w:val="num" w:pos="2880"/>
        </w:tabs>
        <w:ind w:left="2880" w:hanging="360"/>
      </w:pPr>
    </w:lvl>
    <w:lvl w:ilvl="4" w:tplc="BE38F13C" w:tentative="1">
      <w:start w:val="1"/>
      <w:numFmt w:val="decimal"/>
      <w:lvlText w:val="%5."/>
      <w:lvlJc w:val="left"/>
      <w:pPr>
        <w:tabs>
          <w:tab w:val="num" w:pos="3600"/>
        </w:tabs>
        <w:ind w:left="3600" w:hanging="360"/>
      </w:pPr>
    </w:lvl>
    <w:lvl w:ilvl="5" w:tplc="2A626F9A" w:tentative="1">
      <w:start w:val="1"/>
      <w:numFmt w:val="decimal"/>
      <w:lvlText w:val="%6."/>
      <w:lvlJc w:val="left"/>
      <w:pPr>
        <w:tabs>
          <w:tab w:val="num" w:pos="4320"/>
        </w:tabs>
        <w:ind w:left="4320" w:hanging="360"/>
      </w:pPr>
    </w:lvl>
    <w:lvl w:ilvl="6" w:tplc="C1FED25C" w:tentative="1">
      <w:start w:val="1"/>
      <w:numFmt w:val="decimal"/>
      <w:lvlText w:val="%7."/>
      <w:lvlJc w:val="left"/>
      <w:pPr>
        <w:tabs>
          <w:tab w:val="num" w:pos="5040"/>
        </w:tabs>
        <w:ind w:left="5040" w:hanging="360"/>
      </w:pPr>
    </w:lvl>
    <w:lvl w:ilvl="7" w:tplc="BD4EF0C4" w:tentative="1">
      <w:start w:val="1"/>
      <w:numFmt w:val="decimal"/>
      <w:lvlText w:val="%8."/>
      <w:lvlJc w:val="left"/>
      <w:pPr>
        <w:tabs>
          <w:tab w:val="num" w:pos="5760"/>
        </w:tabs>
        <w:ind w:left="5760" w:hanging="360"/>
      </w:pPr>
    </w:lvl>
    <w:lvl w:ilvl="8" w:tplc="3C0ACDD8" w:tentative="1">
      <w:start w:val="1"/>
      <w:numFmt w:val="decimal"/>
      <w:lvlText w:val="%9."/>
      <w:lvlJc w:val="left"/>
      <w:pPr>
        <w:tabs>
          <w:tab w:val="num" w:pos="6480"/>
        </w:tabs>
        <w:ind w:left="6480" w:hanging="360"/>
      </w:pPr>
    </w:lvl>
  </w:abstractNum>
  <w:abstractNum w:abstractNumId="1" w15:restartNumberingAfterBreak="0">
    <w:nsid w:val="0B0029B2"/>
    <w:multiLevelType w:val="hybridMultilevel"/>
    <w:tmpl w:val="84E829BA"/>
    <w:lvl w:ilvl="0" w:tplc="202EE980">
      <w:start w:val="1"/>
      <w:numFmt w:val="bullet"/>
      <w:lvlText w:val="•"/>
      <w:lvlJc w:val="left"/>
      <w:pPr>
        <w:tabs>
          <w:tab w:val="num" w:pos="720"/>
        </w:tabs>
        <w:ind w:left="720" w:hanging="360"/>
      </w:pPr>
      <w:rPr>
        <w:rFonts w:ascii="Arial" w:hAnsi="Arial" w:hint="default"/>
      </w:rPr>
    </w:lvl>
    <w:lvl w:ilvl="1" w:tplc="646E679C" w:tentative="1">
      <w:start w:val="1"/>
      <w:numFmt w:val="bullet"/>
      <w:lvlText w:val="•"/>
      <w:lvlJc w:val="left"/>
      <w:pPr>
        <w:tabs>
          <w:tab w:val="num" w:pos="1440"/>
        </w:tabs>
        <w:ind w:left="1440" w:hanging="360"/>
      </w:pPr>
      <w:rPr>
        <w:rFonts w:ascii="Arial" w:hAnsi="Arial" w:hint="default"/>
      </w:rPr>
    </w:lvl>
    <w:lvl w:ilvl="2" w:tplc="44AA7D38" w:tentative="1">
      <w:start w:val="1"/>
      <w:numFmt w:val="bullet"/>
      <w:lvlText w:val="•"/>
      <w:lvlJc w:val="left"/>
      <w:pPr>
        <w:tabs>
          <w:tab w:val="num" w:pos="2160"/>
        </w:tabs>
        <w:ind w:left="2160" w:hanging="360"/>
      </w:pPr>
      <w:rPr>
        <w:rFonts w:ascii="Arial" w:hAnsi="Arial" w:hint="default"/>
      </w:rPr>
    </w:lvl>
    <w:lvl w:ilvl="3" w:tplc="38CC4CD8" w:tentative="1">
      <w:start w:val="1"/>
      <w:numFmt w:val="bullet"/>
      <w:lvlText w:val="•"/>
      <w:lvlJc w:val="left"/>
      <w:pPr>
        <w:tabs>
          <w:tab w:val="num" w:pos="2880"/>
        </w:tabs>
        <w:ind w:left="2880" w:hanging="360"/>
      </w:pPr>
      <w:rPr>
        <w:rFonts w:ascii="Arial" w:hAnsi="Arial" w:hint="default"/>
      </w:rPr>
    </w:lvl>
    <w:lvl w:ilvl="4" w:tplc="89B0CDDC" w:tentative="1">
      <w:start w:val="1"/>
      <w:numFmt w:val="bullet"/>
      <w:lvlText w:val="•"/>
      <w:lvlJc w:val="left"/>
      <w:pPr>
        <w:tabs>
          <w:tab w:val="num" w:pos="3600"/>
        </w:tabs>
        <w:ind w:left="3600" w:hanging="360"/>
      </w:pPr>
      <w:rPr>
        <w:rFonts w:ascii="Arial" w:hAnsi="Arial" w:hint="default"/>
      </w:rPr>
    </w:lvl>
    <w:lvl w:ilvl="5" w:tplc="2B747EA2" w:tentative="1">
      <w:start w:val="1"/>
      <w:numFmt w:val="bullet"/>
      <w:lvlText w:val="•"/>
      <w:lvlJc w:val="left"/>
      <w:pPr>
        <w:tabs>
          <w:tab w:val="num" w:pos="4320"/>
        </w:tabs>
        <w:ind w:left="4320" w:hanging="360"/>
      </w:pPr>
      <w:rPr>
        <w:rFonts w:ascii="Arial" w:hAnsi="Arial" w:hint="default"/>
      </w:rPr>
    </w:lvl>
    <w:lvl w:ilvl="6" w:tplc="6C043548" w:tentative="1">
      <w:start w:val="1"/>
      <w:numFmt w:val="bullet"/>
      <w:lvlText w:val="•"/>
      <w:lvlJc w:val="left"/>
      <w:pPr>
        <w:tabs>
          <w:tab w:val="num" w:pos="5040"/>
        </w:tabs>
        <w:ind w:left="5040" w:hanging="360"/>
      </w:pPr>
      <w:rPr>
        <w:rFonts w:ascii="Arial" w:hAnsi="Arial" w:hint="default"/>
      </w:rPr>
    </w:lvl>
    <w:lvl w:ilvl="7" w:tplc="65249A04" w:tentative="1">
      <w:start w:val="1"/>
      <w:numFmt w:val="bullet"/>
      <w:lvlText w:val="•"/>
      <w:lvlJc w:val="left"/>
      <w:pPr>
        <w:tabs>
          <w:tab w:val="num" w:pos="5760"/>
        </w:tabs>
        <w:ind w:left="5760" w:hanging="360"/>
      </w:pPr>
      <w:rPr>
        <w:rFonts w:ascii="Arial" w:hAnsi="Arial" w:hint="default"/>
      </w:rPr>
    </w:lvl>
    <w:lvl w:ilvl="8" w:tplc="FA58BDD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7534C1"/>
    <w:multiLevelType w:val="hybridMultilevel"/>
    <w:tmpl w:val="232EFF02"/>
    <w:lvl w:ilvl="0" w:tplc="9760D7C0">
      <w:start w:val="1"/>
      <w:numFmt w:val="bullet"/>
      <w:lvlText w:val="•"/>
      <w:lvlJc w:val="left"/>
      <w:pPr>
        <w:tabs>
          <w:tab w:val="num" w:pos="720"/>
        </w:tabs>
        <w:ind w:left="720" w:hanging="360"/>
      </w:pPr>
      <w:rPr>
        <w:rFonts w:ascii="Arial" w:hAnsi="Arial" w:hint="default"/>
      </w:rPr>
    </w:lvl>
    <w:lvl w:ilvl="1" w:tplc="63C621A0" w:tentative="1">
      <w:start w:val="1"/>
      <w:numFmt w:val="bullet"/>
      <w:lvlText w:val="•"/>
      <w:lvlJc w:val="left"/>
      <w:pPr>
        <w:tabs>
          <w:tab w:val="num" w:pos="1440"/>
        </w:tabs>
        <w:ind w:left="1440" w:hanging="360"/>
      </w:pPr>
      <w:rPr>
        <w:rFonts w:ascii="Arial" w:hAnsi="Arial" w:hint="default"/>
      </w:rPr>
    </w:lvl>
    <w:lvl w:ilvl="2" w:tplc="3CF28436" w:tentative="1">
      <w:start w:val="1"/>
      <w:numFmt w:val="bullet"/>
      <w:lvlText w:val="•"/>
      <w:lvlJc w:val="left"/>
      <w:pPr>
        <w:tabs>
          <w:tab w:val="num" w:pos="2160"/>
        </w:tabs>
        <w:ind w:left="2160" w:hanging="360"/>
      </w:pPr>
      <w:rPr>
        <w:rFonts w:ascii="Arial" w:hAnsi="Arial" w:hint="default"/>
      </w:rPr>
    </w:lvl>
    <w:lvl w:ilvl="3" w:tplc="7284BDB2" w:tentative="1">
      <w:start w:val="1"/>
      <w:numFmt w:val="bullet"/>
      <w:lvlText w:val="•"/>
      <w:lvlJc w:val="left"/>
      <w:pPr>
        <w:tabs>
          <w:tab w:val="num" w:pos="2880"/>
        </w:tabs>
        <w:ind w:left="2880" w:hanging="360"/>
      </w:pPr>
      <w:rPr>
        <w:rFonts w:ascii="Arial" w:hAnsi="Arial" w:hint="default"/>
      </w:rPr>
    </w:lvl>
    <w:lvl w:ilvl="4" w:tplc="D80E3D06" w:tentative="1">
      <w:start w:val="1"/>
      <w:numFmt w:val="bullet"/>
      <w:lvlText w:val="•"/>
      <w:lvlJc w:val="left"/>
      <w:pPr>
        <w:tabs>
          <w:tab w:val="num" w:pos="3600"/>
        </w:tabs>
        <w:ind w:left="3600" w:hanging="360"/>
      </w:pPr>
      <w:rPr>
        <w:rFonts w:ascii="Arial" w:hAnsi="Arial" w:hint="default"/>
      </w:rPr>
    </w:lvl>
    <w:lvl w:ilvl="5" w:tplc="57E8CF6E" w:tentative="1">
      <w:start w:val="1"/>
      <w:numFmt w:val="bullet"/>
      <w:lvlText w:val="•"/>
      <w:lvlJc w:val="left"/>
      <w:pPr>
        <w:tabs>
          <w:tab w:val="num" w:pos="4320"/>
        </w:tabs>
        <w:ind w:left="4320" w:hanging="360"/>
      </w:pPr>
      <w:rPr>
        <w:rFonts w:ascii="Arial" w:hAnsi="Arial" w:hint="default"/>
      </w:rPr>
    </w:lvl>
    <w:lvl w:ilvl="6" w:tplc="6DEEDA80" w:tentative="1">
      <w:start w:val="1"/>
      <w:numFmt w:val="bullet"/>
      <w:lvlText w:val="•"/>
      <w:lvlJc w:val="left"/>
      <w:pPr>
        <w:tabs>
          <w:tab w:val="num" w:pos="5040"/>
        </w:tabs>
        <w:ind w:left="5040" w:hanging="360"/>
      </w:pPr>
      <w:rPr>
        <w:rFonts w:ascii="Arial" w:hAnsi="Arial" w:hint="default"/>
      </w:rPr>
    </w:lvl>
    <w:lvl w:ilvl="7" w:tplc="1A92924A" w:tentative="1">
      <w:start w:val="1"/>
      <w:numFmt w:val="bullet"/>
      <w:lvlText w:val="•"/>
      <w:lvlJc w:val="left"/>
      <w:pPr>
        <w:tabs>
          <w:tab w:val="num" w:pos="5760"/>
        </w:tabs>
        <w:ind w:left="5760" w:hanging="360"/>
      </w:pPr>
      <w:rPr>
        <w:rFonts w:ascii="Arial" w:hAnsi="Arial" w:hint="default"/>
      </w:rPr>
    </w:lvl>
    <w:lvl w:ilvl="8" w:tplc="886CFC2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082077E"/>
    <w:multiLevelType w:val="hybridMultilevel"/>
    <w:tmpl w:val="27F09F7E"/>
    <w:lvl w:ilvl="0" w:tplc="4F389C06">
      <w:start w:val="1"/>
      <w:numFmt w:val="bullet"/>
      <w:lvlText w:val="•"/>
      <w:lvlJc w:val="left"/>
      <w:pPr>
        <w:tabs>
          <w:tab w:val="num" w:pos="720"/>
        </w:tabs>
        <w:ind w:left="720" w:hanging="360"/>
      </w:pPr>
      <w:rPr>
        <w:rFonts w:ascii="Arial" w:hAnsi="Arial" w:hint="default"/>
      </w:rPr>
    </w:lvl>
    <w:lvl w:ilvl="1" w:tplc="FDD0D868" w:tentative="1">
      <w:start w:val="1"/>
      <w:numFmt w:val="bullet"/>
      <w:lvlText w:val="•"/>
      <w:lvlJc w:val="left"/>
      <w:pPr>
        <w:tabs>
          <w:tab w:val="num" w:pos="1440"/>
        </w:tabs>
        <w:ind w:left="1440" w:hanging="360"/>
      </w:pPr>
      <w:rPr>
        <w:rFonts w:ascii="Arial" w:hAnsi="Arial" w:hint="default"/>
      </w:rPr>
    </w:lvl>
    <w:lvl w:ilvl="2" w:tplc="92D8066E" w:tentative="1">
      <w:start w:val="1"/>
      <w:numFmt w:val="bullet"/>
      <w:lvlText w:val="•"/>
      <w:lvlJc w:val="left"/>
      <w:pPr>
        <w:tabs>
          <w:tab w:val="num" w:pos="2160"/>
        </w:tabs>
        <w:ind w:left="2160" w:hanging="360"/>
      </w:pPr>
      <w:rPr>
        <w:rFonts w:ascii="Arial" w:hAnsi="Arial" w:hint="default"/>
      </w:rPr>
    </w:lvl>
    <w:lvl w:ilvl="3" w:tplc="FE221EE4" w:tentative="1">
      <w:start w:val="1"/>
      <w:numFmt w:val="bullet"/>
      <w:lvlText w:val="•"/>
      <w:lvlJc w:val="left"/>
      <w:pPr>
        <w:tabs>
          <w:tab w:val="num" w:pos="2880"/>
        </w:tabs>
        <w:ind w:left="2880" w:hanging="360"/>
      </w:pPr>
      <w:rPr>
        <w:rFonts w:ascii="Arial" w:hAnsi="Arial" w:hint="default"/>
      </w:rPr>
    </w:lvl>
    <w:lvl w:ilvl="4" w:tplc="94FE6ED8" w:tentative="1">
      <w:start w:val="1"/>
      <w:numFmt w:val="bullet"/>
      <w:lvlText w:val="•"/>
      <w:lvlJc w:val="left"/>
      <w:pPr>
        <w:tabs>
          <w:tab w:val="num" w:pos="3600"/>
        </w:tabs>
        <w:ind w:left="3600" w:hanging="360"/>
      </w:pPr>
      <w:rPr>
        <w:rFonts w:ascii="Arial" w:hAnsi="Arial" w:hint="default"/>
      </w:rPr>
    </w:lvl>
    <w:lvl w:ilvl="5" w:tplc="ADAAF426" w:tentative="1">
      <w:start w:val="1"/>
      <w:numFmt w:val="bullet"/>
      <w:lvlText w:val="•"/>
      <w:lvlJc w:val="left"/>
      <w:pPr>
        <w:tabs>
          <w:tab w:val="num" w:pos="4320"/>
        </w:tabs>
        <w:ind w:left="4320" w:hanging="360"/>
      </w:pPr>
      <w:rPr>
        <w:rFonts w:ascii="Arial" w:hAnsi="Arial" w:hint="default"/>
      </w:rPr>
    </w:lvl>
    <w:lvl w:ilvl="6" w:tplc="DACA168E" w:tentative="1">
      <w:start w:val="1"/>
      <w:numFmt w:val="bullet"/>
      <w:lvlText w:val="•"/>
      <w:lvlJc w:val="left"/>
      <w:pPr>
        <w:tabs>
          <w:tab w:val="num" w:pos="5040"/>
        </w:tabs>
        <w:ind w:left="5040" w:hanging="360"/>
      </w:pPr>
      <w:rPr>
        <w:rFonts w:ascii="Arial" w:hAnsi="Arial" w:hint="default"/>
      </w:rPr>
    </w:lvl>
    <w:lvl w:ilvl="7" w:tplc="AB9E458A" w:tentative="1">
      <w:start w:val="1"/>
      <w:numFmt w:val="bullet"/>
      <w:lvlText w:val="•"/>
      <w:lvlJc w:val="left"/>
      <w:pPr>
        <w:tabs>
          <w:tab w:val="num" w:pos="5760"/>
        </w:tabs>
        <w:ind w:left="5760" w:hanging="360"/>
      </w:pPr>
      <w:rPr>
        <w:rFonts w:ascii="Arial" w:hAnsi="Arial" w:hint="default"/>
      </w:rPr>
    </w:lvl>
    <w:lvl w:ilvl="8" w:tplc="383E0F7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1261E2D"/>
    <w:multiLevelType w:val="hybridMultilevel"/>
    <w:tmpl w:val="D8223D42"/>
    <w:lvl w:ilvl="0" w:tplc="944CD68E">
      <w:start w:val="1"/>
      <w:numFmt w:val="bullet"/>
      <w:lvlText w:val="•"/>
      <w:lvlJc w:val="left"/>
      <w:pPr>
        <w:tabs>
          <w:tab w:val="num" w:pos="720"/>
        </w:tabs>
        <w:ind w:left="720" w:hanging="360"/>
      </w:pPr>
      <w:rPr>
        <w:rFonts w:ascii="Arial" w:hAnsi="Arial" w:hint="default"/>
      </w:rPr>
    </w:lvl>
    <w:lvl w:ilvl="1" w:tplc="8456795A" w:tentative="1">
      <w:start w:val="1"/>
      <w:numFmt w:val="bullet"/>
      <w:lvlText w:val="•"/>
      <w:lvlJc w:val="left"/>
      <w:pPr>
        <w:tabs>
          <w:tab w:val="num" w:pos="1440"/>
        </w:tabs>
        <w:ind w:left="1440" w:hanging="360"/>
      </w:pPr>
      <w:rPr>
        <w:rFonts w:ascii="Arial" w:hAnsi="Arial" w:hint="default"/>
      </w:rPr>
    </w:lvl>
    <w:lvl w:ilvl="2" w:tplc="136C9D62" w:tentative="1">
      <w:start w:val="1"/>
      <w:numFmt w:val="bullet"/>
      <w:lvlText w:val="•"/>
      <w:lvlJc w:val="left"/>
      <w:pPr>
        <w:tabs>
          <w:tab w:val="num" w:pos="2160"/>
        </w:tabs>
        <w:ind w:left="2160" w:hanging="360"/>
      </w:pPr>
      <w:rPr>
        <w:rFonts w:ascii="Arial" w:hAnsi="Arial" w:hint="default"/>
      </w:rPr>
    </w:lvl>
    <w:lvl w:ilvl="3" w:tplc="3026B14A" w:tentative="1">
      <w:start w:val="1"/>
      <w:numFmt w:val="bullet"/>
      <w:lvlText w:val="•"/>
      <w:lvlJc w:val="left"/>
      <w:pPr>
        <w:tabs>
          <w:tab w:val="num" w:pos="2880"/>
        </w:tabs>
        <w:ind w:left="2880" w:hanging="360"/>
      </w:pPr>
      <w:rPr>
        <w:rFonts w:ascii="Arial" w:hAnsi="Arial" w:hint="default"/>
      </w:rPr>
    </w:lvl>
    <w:lvl w:ilvl="4" w:tplc="EBA0220C" w:tentative="1">
      <w:start w:val="1"/>
      <w:numFmt w:val="bullet"/>
      <w:lvlText w:val="•"/>
      <w:lvlJc w:val="left"/>
      <w:pPr>
        <w:tabs>
          <w:tab w:val="num" w:pos="3600"/>
        </w:tabs>
        <w:ind w:left="3600" w:hanging="360"/>
      </w:pPr>
      <w:rPr>
        <w:rFonts w:ascii="Arial" w:hAnsi="Arial" w:hint="default"/>
      </w:rPr>
    </w:lvl>
    <w:lvl w:ilvl="5" w:tplc="856C07C8" w:tentative="1">
      <w:start w:val="1"/>
      <w:numFmt w:val="bullet"/>
      <w:lvlText w:val="•"/>
      <w:lvlJc w:val="left"/>
      <w:pPr>
        <w:tabs>
          <w:tab w:val="num" w:pos="4320"/>
        </w:tabs>
        <w:ind w:left="4320" w:hanging="360"/>
      </w:pPr>
      <w:rPr>
        <w:rFonts w:ascii="Arial" w:hAnsi="Arial" w:hint="default"/>
      </w:rPr>
    </w:lvl>
    <w:lvl w:ilvl="6" w:tplc="FDD0CD82" w:tentative="1">
      <w:start w:val="1"/>
      <w:numFmt w:val="bullet"/>
      <w:lvlText w:val="•"/>
      <w:lvlJc w:val="left"/>
      <w:pPr>
        <w:tabs>
          <w:tab w:val="num" w:pos="5040"/>
        </w:tabs>
        <w:ind w:left="5040" w:hanging="360"/>
      </w:pPr>
      <w:rPr>
        <w:rFonts w:ascii="Arial" w:hAnsi="Arial" w:hint="default"/>
      </w:rPr>
    </w:lvl>
    <w:lvl w:ilvl="7" w:tplc="B26ECBCC" w:tentative="1">
      <w:start w:val="1"/>
      <w:numFmt w:val="bullet"/>
      <w:lvlText w:val="•"/>
      <w:lvlJc w:val="left"/>
      <w:pPr>
        <w:tabs>
          <w:tab w:val="num" w:pos="5760"/>
        </w:tabs>
        <w:ind w:left="5760" w:hanging="360"/>
      </w:pPr>
      <w:rPr>
        <w:rFonts w:ascii="Arial" w:hAnsi="Arial" w:hint="default"/>
      </w:rPr>
    </w:lvl>
    <w:lvl w:ilvl="8" w:tplc="FCF4BE7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50440B"/>
    <w:multiLevelType w:val="hybridMultilevel"/>
    <w:tmpl w:val="3392C1C8"/>
    <w:lvl w:ilvl="0" w:tplc="94A4EC3C">
      <w:start w:val="1"/>
      <w:numFmt w:val="bullet"/>
      <w:lvlText w:val="•"/>
      <w:lvlJc w:val="left"/>
      <w:pPr>
        <w:tabs>
          <w:tab w:val="num" w:pos="720"/>
        </w:tabs>
        <w:ind w:left="720" w:hanging="360"/>
      </w:pPr>
      <w:rPr>
        <w:rFonts w:ascii="Arial" w:hAnsi="Arial" w:hint="default"/>
      </w:rPr>
    </w:lvl>
    <w:lvl w:ilvl="1" w:tplc="66D6B31E" w:tentative="1">
      <w:start w:val="1"/>
      <w:numFmt w:val="bullet"/>
      <w:lvlText w:val="•"/>
      <w:lvlJc w:val="left"/>
      <w:pPr>
        <w:tabs>
          <w:tab w:val="num" w:pos="1440"/>
        </w:tabs>
        <w:ind w:left="1440" w:hanging="360"/>
      </w:pPr>
      <w:rPr>
        <w:rFonts w:ascii="Arial" w:hAnsi="Arial" w:hint="default"/>
      </w:rPr>
    </w:lvl>
    <w:lvl w:ilvl="2" w:tplc="35C8A6A0" w:tentative="1">
      <w:start w:val="1"/>
      <w:numFmt w:val="bullet"/>
      <w:lvlText w:val="•"/>
      <w:lvlJc w:val="left"/>
      <w:pPr>
        <w:tabs>
          <w:tab w:val="num" w:pos="2160"/>
        </w:tabs>
        <w:ind w:left="2160" w:hanging="360"/>
      </w:pPr>
      <w:rPr>
        <w:rFonts w:ascii="Arial" w:hAnsi="Arial" w:hint="default"/>
      </w:rPr>
    </w:lvl>
    <w:lvl w:ilvl="3" w:tplc="B30C56E6" w:tentative="1">
      <w:start w:val="1"/>
      <w:numFmt w:val="bullet"/>
      <w:lvlText w:val="•"/>
      <w:lvlJc w:val="left"/>
      <w:pPr>
        <w:tabs>
          <w:tab w:val="num" w:pos="2880"/>
        </w:tabs>
        <w:ind w:left="2880" w:hanging="360"/>
      </w:pPr>
      <w:rPr>
        <w:rFonts w:ascii="Arial" w:hAnsi="Arial" w:hint="default"/>
      </w:rPr>
    </w:lvl>
    <w:lvl w:ilvl="4" w:tplc="4EBCD0D2" w:tentative="1">
      <w:start w:val="1"/>
      <w:numFmt w:val="bullet"/>
      <w:lvlText w:val="•"/>
      <w:lvlJc w:val="left"/>
      <w:pPr>
        <w:tabs>
          <w:tab w:val="num" w:pos="3600"/>
        </w:tabs>
        <w:ind w:left="3600" w:hanging="360"/>
      </w:pPr>
      <w:rPr>
        <w:rFonts w:ascii="Arial" w:hAnsi="Arial" w:hint="default"/>
      </w:rPr>
    </w:lvl>
    <w:lvl w:ilvl="5" w:tplc="BA584D76" w:tentative="1">
      <w:start w:val="1"/>
      <w:numFmt w:val="bullet"/>
      <w:lvlText w:val="•"/>
      <w:lvlJc w:val="left"/>
      <w:pPr>
        <w:tabs>
          <w:tab w:val="num" w:pos="4320"/>
        </w:tabs>
        <w:ind w:left="4320" w:hanging="360"/>
      </w:pPr>
      <w:rPr>
        <w:rFonts w:ascii="Arial" w:hAnsi="Arial" w:hint="default"/>
      </w:rPr>
    </w:lvl>
    <w:lvl w:ilvl="6" w:tplc="FE965682" w:tentative="1">
      <w:start w:val="1"/>
      <w:numFmt w:val="bullet"/>
      <w:lvlText w:val="•"/>
      <w:lvlJc w:val="left"/>
      <w:pPr>
        <w:tabs>
          <w:tab w:val="num" w:pos="5040"/>
        </w:tabs>
        <w:ind w:left="5040" w:hanging="360"/>
      </w:pPr>
      <w:rPr>
        <w:rFonts w:ascii="Arial" w:hAnsi="Arial" w:hint="default"/>
      </w:rPr>
    </w:lvl>
    <w:lvl w:ilvl="7" w:tplc="1980BC56" w:tentative="1">
      <w:start w:val="1"/>
      <w:numFmt w:val="bullet"/>
      <w:lvlText w:val="•"/>
      <w:lvlJc w:val="left"/>
      <w:pPr>
        <w:tabs>
          <w:tab w:val="num" w:pos="5760"/>
        </w:tabs>
        <w:ind w:left="5760" w:hanging="360"/>
      </w:pPr>
      <w:rPr>
        <w:rFonts w:ascii="Arial" w:hAnsi="Arial" w:hint="default"/>
      </w:rPr>
    </w:lvl>
    <w:lvl w:ilvl="8" w:tplc="AD5E6B7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76C3FAD"/>
    <w:multiLevelType w:val="hybridMultilevel"/>
    <w:tmpl w:val="07A47E46"/>
    <w:lvl w:ilvl="0" w:tplc="0C0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 w15:restartNumberingAfterBreak="0">
    <w:nsid w:val="1BD86C6F"/>
    <w:multiLevelType w:val="multilevel"/>
    <w:tmpl w:val="88BC2CB0"/>
    <w:lvl w:ilvl="0">
      <w:start w:val="1"/>
      <w:numFmt w:val="decimal"/>
      <w:lvlText w:val="%1"/>
      <w:lvlJc w:val="left"/>
      <w:pPr>
        <w:ind w:left="360" w:hanging="36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E7E04A1"/>
    <w:multiLevelType w:val="hybridMultilevel"/>
    <w:tmpl w:val="91669CB8"/>
    <w:lvl w:ilvl="0" w:tplc="DA301B8E">
      <w:start w:val="1"/>
      <w:numFmt w:val="bullet"/>
      <w:lvlText w:val="•"/>
      <w:lvlJc w:val="left"/>
      <w:pPr>
        <w:tabs>
          <w:tab w:val="num" w:pos="720"/>
        </w:tabs>
        <w:ind w:left="720" w:hanging="360"/>
      </w:pPr>
      <w:rPr>
        <w:rFonts w:ascii="Arial" w:hAnsi="Arial" w:hint="default"/>
      </w:rPr>
    </w:lvl>
    <w:lvl w:ilvl="1" w:tplc="7DC43776" w:tentative="1">
      <w:start w:val="1"/>
      <w:numFmt w:val="bullet"/>
      <w:lvlText w:val="•"/>
      <w:lvlJc w:val="left"/>
      <w:pPr>
        <w:tabs>
          <w:tab w:val="num" w:pos="1440"/>
        </w:tabs>
        <w:ind w:left="1440" w:hanging="360"/>
      </w:pPr>
      <w:rPr>
        <w:rFonts w:ascii="Arial" w:hAnsi="Arial" w:hint="default"/>
      </w:rPr>
    </w:lvl>
    <w:lvl w:ilvl="2" w:tplc="FCB0B866" w:tentative="1">
      <w:start w:val="1"/>
      <w:numFmt w:val="bullet"/>
      <w:lvlText w:val="•"/>
      <w:lvlJc w:val="left"/>
      <w:pPr>
        <w:tabs>
          <w:tab w:val="num" w:pos="2160"/>
        </w:tabs>
        <w:ind w:left="2160" w:hanging="360"/>
      </w:pPr>
      <w:rPr>
        <w:rFonts w:ascii="Arial" w:hAnsi="Arial" w:hint="default"/>
      </w:rPr>
    </w:lvl>
    <w:lvl w:ilvl="3" w:tplc="A1B08A66" w:tentative="1">
      <w:start w:val="1"/>
      <w:numFmt w:val="bullet"/>
      <w:lvlText w:val="•"/>
      <w:lvlJc w:val="left"/>
      <w:pPr>
        <w:tabs>
          <w:tab w:val="num" w:pos="2880"/>
        </w:tabs>
        <w:ind w:left="2880" w:hanging="360"/>
      </w:pPr>
      <w:rPr>
        <w:rFonts w:ascii="Arial" w:hAnsi="Arial" w:hint="default"/>
      </w:rPr>
    </w:lvl>
    <w:lvl w:ilvl="4" w:tplc="E8AE20F4" w:tentative="1">
      <w:start w:val="1"/>
      <w:numFmt w:val="bullet"/>
      <w:lvlText w:val="•"/>
      <w:lvlJc w:val="left"/>
      <w:pPr>
        <w:tabs>
          <w:tab w:val="num" w:pos="3600"/>
        </w:tabs>
        <w:ind w:left="3600" w:hanging="360"/>
      </w:pPr>
      <w:rPr>
        <w:rFonts w:ascii="Arial" w:hAnsi="Arial" w:hint="default"/>
      </w:rPr>
    </w:lvl>
    <w:lvl w:ilvl="5" w:tplc="982E8A7E" w:tentative="1">
      <w:start w:val="1"/>
      <w:numFmt w:val="bullet"/>
      <w:lvlText w:val="•"/>
      <w:lvlJc w:val="left"/>
      <w:pPr>
        <w:tabs>
          <w:tab w:val="num" w:pos="4320"/>
        </w:tabs>
        <w:ind w:left="4320" w:hanging="360"/>
      </w:pPr>
      <w:rPr>
        <w:rFonts w:ascii="Arial" w:hAnsi="Arial" w:hint="default"/>
      </w:rPr>
    </w:lvl>
    <w:lvl w:ilvl="6" w:tplc="74520420" w:tentative="1">
      <w:start w:val="1"/>
      <w:numFmt w:val="bullet"/>
      <w:lvlText w:val="•"/>
      <w:lvlJc w:val="left"/>
      <w:pPr>
        <w:tabs>
          <w:tab w:val="num" w:pos="5040"/>
        </w:tabs>
        <w:ind w:left="5040" w:hanging="360"/>
      </w:pPr>
      <w:rPr>
        <w:rFonts w:ascii="Arial" w:hAnsi="Arial" w:hint="default"/>
      </w:rPr>
    </w:lvl>
    <w:lvl w:ilvl="7" w:tplc="9E28D58C" w:tentative="1">
      <w:start w:val="1"/>
      <w:numFmt w:val="bullet"/>
      <w:lvlText w:val="•"/>
      <w:lvlJc w:val="left"/>
      <w:pPr>
        <w:tabs>
          <w:tab w:val="num" w:pos="5760"/>
        </w:tabs>
        <w:ind w:left="5760" w:hanging="360"/>
      </w:pPr>
      <w:rPr>
        <w:rFonts w:ascii="Arial" w:hAnsi="Arial" w:hint="default"/>
      </w:rPr>
    </w:lvl>
    <w:lvl w:ilvl="8" w:tplc="F2C052C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ECA5ABB"/>
    <w:multiLevelType w:val="hybridMultilevel"/>
    <w:tmpl w:val="09FEC932"/>
    <w:lvl w:ilvl="0" w:tplc="3A146724">
      <w:start w:val="1"/>
      <w:numFmt w:val="bullet"/>
      <w:lvlText w:val="-"/>
      <w:lvlJc w:val="left"/>
      <w:pPr>
        <w:tabs>
          <w:tab w:val="num" w:pos="720"/>
        </w:tabs>
        <w:ind w:left="720" w:hanging="360"/>
      </w:pPr>
      <w:rPr>
        <w:rFonts w:ascii="Times New Roman" w:hAnsi="Times New Roman" w:hint="default"/>
      </w:rPr>
    </w:lvl>
    <w:lvl w:ilvl="1" w:tplc="447E0C2C" w:tentative="1">
      <w:start w:val="1"/>
      <w:numFmt w:val="bullet"/>
      <w:lvlText w:val="-"/>
      <w:lvlJc w:val="left"/>
      <w:pPr>
        <w:tabs>
          <w:tab w:val="num" w:pos="1440"/>
        </w:tabs>
        <w:ind w:left="1440" w:hanging="360"/>
      </w:pPr>
      <w:rPr>
        <w:rFonts w:ascii="Times New Roman" w:hAnsi="Times New Roman" w:hint="default"/>
      </w:rPr>
    </w:lvl>
    <w:lvl w:ilvl="2" w:tplc="50A8B0C8" w:tentative="1">
      <w:start w:val="1"/>
      <w:numFmt w:val="bullet"/>
      <w:lvlText w:val="-"/>
      <w:lvlJc w:val="left"/>
      <w:pPr>
        <w:tabs>
          <w:tab w:val="num" w:pos="2160"/>
        </w:tabs>
        <w:ind w:left="2160" w:hanging="360"/>
      </w:pPr>
      <w:rPr>
        <w:rFonts w:ascii="Times New Roman" w:hAnsi="Times New Roman" w:hint="default"/>
      </w:rPr>
    </w:lvl>
    <w:lvl w:ilvl="3" w:tplc="9A6EDDBA" w:tentative="1">
      <w:start w:val="1"/>
      <w:numFmt w:val="bullet"/>
      <w:lvlText w:val="-"/>
      <w:lvlJc w:val="left"/>
      <w:pPr>
        <w:tabs>
          <w:tab w:val="num" w:pos="2880"/>
        </w:tabs>
        <w:ind w:left="2880" w:hanging="360"/>
      </w:pPr>
      <w:rPr>
        <w:rFonts w:ascii="Times New Roman" w:hAnsi="Times New Roman" w:hint="default"/>
      </w:rPr>
    </w:lvl>
    <w:lvl w:ilvl="4" w:tplc="B98E2586" w:tentative="1">
      <w:start w:val="1"/>
      <w:numFmt w:val="bullet"/>
      <w:lvlText w:val="-"/>
      <w:lvlJc w:val="left"/>
      <w:pPr>
        <w:tabs>
          <w:tab w:val="num" w:pos="3600"/>
        </w:tabs>
        <w:ind w:left="3600" w:hanging="360"/>
      </w:pPr>
      <w:rPr>
        <w:rFonts w:ascii="Times New Roman" w:hAnsi="Times New Roman" w:hint="default"/>
      </w:rPr>
    </w:lvl>
    <w:lvl w:ilvl="5" w:tplc="EDC40168" w:tentative="1">
      <w:start w:val="1"/>
      <w:numFmt w:val="bullet"/>
      <w:lvlText w:val="-"/>
      <w:lvlJc w:val="left"/>
      <w:pPr>
        <w:tabs>
          <w:tab w:val="num" w:pos="4320"/>
        </w:tabs>
        <w:ind w:left="4320" w:hanging="360"/>
      </w:pPr>
      <w:rPr>
        <w:rFonts w:ascii="Times New Roman" w:hAnsi="Times New Roman" w:hint="default"/>
      </w:rPr>
    </w:lvl>
    <w:lvl w:ilvl="6" w:tplc="4B6E4B1C" w:tentative="1">
      <w:start w:val="1"/>
      <w:numFmt w:val="bullet"/>
      <w:lvlText w:val="-"/>
      <w:lvlJc w:val="left"/>
      <w:pPr>
        <w:tabs>
          <w:tab w:val="num" w:pos="5040"/>
        </w:tabs>
        <w:ind w:left="5040" w:hanging="360"/>
      </w:pPr>
      <w:rPr>
        <w:rFonts w:ascii="Times New Roman" w:hAnsi="Times New Roman" w:hint="default"/>
      </w:rPr>
    </w:lvl>
    <w:lvl w:ilvl="7" w:tplc="CC8C8FE0" w:tentative="1">
      <w:start w:val="1"/>
      <w:numFmt w:val="bullet"/>
      <w:lvlText w:val="-"/>
      <w:lvlJc w:val="left"/>
      <w:pPr>
        <w:tabs>
          <w:tab w:val="num" w:pos="5760"/>
        </w:tabs>
        <w:ind w:left="5760" w:hanging="360"/>
      </w:pPr>
      <w:rPr>
        <w:rFonts w:ascii="Times New Roman" w:hAnsi="Times New Roman" w:hint="default"/>
      </w:rPr>
    </w:lvl>
    <w:lvl w:ilvl="8" w:tplc="EFE6C96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44B1B18"/>
    <w:multiLevelType w:val="hybridMultilevel"/>
    <w:tmpl w:val="5FCC9A7E"/>
    <w:lvl w:ilvl="0" w:tplc="75B0835C">
      <w:start w:val="1"/>
      <w:numFmt w:val="bullet"/>
      <w:lvlText w:val="•"/>
      <w:lvlJc w:val="left"/>
      <w:pPr>
        <w:tabs>
          <w:tab w:val="num" w:pos="720"/>
        </w:tabs>
        <w:ind w:left="720" w:hanging="360"/>
      </w:pPr>
      <w:rPr>
        <w:rFonts w:ascii="Arial" w:hAnsi="Arial" w:hint="default"/>
      </w:rPr>
    </w:lvl>
    <w:lvl w:ilvl="1" w:tplc="F1DE5512" w:tentative="1">
      <w:start w:val="1"/>
      <w:numFmt w:val="bullet"/>
      <w:lvlText w:val="•"/>
      <w:lvlJc w:val="left"/>
      <w:pPr>
        <w:tabs>
          <w:tab w:val="num" w:pos="1440"/>
        </w:tabs>
        <w:ind w:left="1440" w:hanging="360"/>
      </w:pPr>
      <w:rPr>
        <w:rFonts w:ascii="Arial" w:hAnsi="Arial" w:hint="default"/>
      </w:rPr>
    </w:lvl>
    <w:lvl w:ilvl="2" w:tplc="19229EDE" w:tentative="1">
      <w:start w:val="1"/>
      <w:numFmt w:val="bullet"/>
      <w:lvlText w:val="•"/>
      <w:lvlJc w:val="left"/>
      <w:pPr>
        <w:tabs>
          <w:tab w:val="num" w:pos="2160"/>
        </w:tabs>
        <w:ind w:left="2160" w:hanging="360"/>
      </w:pPr>
      <w:rPr>
        <w:rFonts w:ascii="Arial" w:hAnsi="Arial" w:hint="default"/>
      </w:rPr>
    </w:lvl>
    <w:lvl w:ilvl="3" w:tplc="427AB93E" w:tentative="1">
      <w:start w:val="1"/>
      <w:numFmt w:val="bullet"/>
      <w:lvlText w:val="•"/>
      <w:lvlJc w:val="left"/>
      <w:pPr>
        <w:tabs>
          <w:tab w:val="num" w:pos="2880"/>
        </w:tabs>
        <w:ind w:left="2880" w:hanging="360"/>
      </w:pPr>
      <w:rPr>
        <w:rFonts w:ascii="Arial" w:hAnsi="Arial" w:hint="default"/>
      </w:rPr>
    </w:lvl>
    <w:lvl w:ilvl="4" w:tplc="234465C8" w:tentative="1">
      <w:start w:val="1"/>
      <w:numFmt w:val="bullet"/>
      <w:lvlText w:val="•"/>
      <w:lvlJc w:val="left"/>
      <w:pPr>
        <w:tabs>
          <w:tab w:val="num" w:pos="3600"/>
        </w:tabs>
        <w:ind w:left="3600" w:hanging="360"/>
      </w:pPr>
      <w:rPr>
        <w:rFonts w:ascii="Arial" w:hAnsi="Arial" w:hint="default"/>
      </w:rPr>
    </w:lvl>
    <w:lvl w:ilvl="5" w:tplc="22EAD19C" w:tentative="1">
      <w:start w:val="1"/>
      <w:numFmt w:val="bullet"/>
      <w:lvlText w:val="•"/>
      <w:lvlJc w:val="left"/>
      <w:pPr>
        <w:tabs>
          <w:tab w:val="num" w:pos="4320"/>
        </w:tabs>
        <w:ind w:left="4320" w:hanging="360"/>
      </w:pPr>
      <w:rPr>
        <w:rFonts w:ascii="Arial" w:hAnsi="Arial" w:hint="default"/>
      </w:rPr>
    </w:lvl>
    <w:lvl w:ilvl="6" w:tplc="D9623426" w:tentative="1">
      <w:start w:val="1"/>
      <w:numFmt w:val="bullet"/>
      <w:lvlText w:val="•"/>
      <w:lvlJc w:val="left"/>
      <w:pPr>
        <w:tabs>
          <w:tab w:val="num" w:pos="5040"/>
        </w:tabs>
        <w:ind w:left="5040" w:hanging="360"/>
      </w:pPr>
      <w:rPr>
        <w:rFonts w:ascii="Arial" w:hAnsi="Arial" w:hint="default"/>
      </w:rPr>
    </w:lvl>
    <w:lvl w:ilvl="7" w:tplc="EC704D44" w:tentative="1">
      <w:start w:val="1"/>
      <w:numFmt w:val="bullet"/>
      <w:lvlText w:val="•"/>
      <w:lvlJc w:val="left"/>
      <w:pPr>
        <w:tabs>
          <w:tab w:val="num" w:pos="5760"/>
        </w:tabs>
        <w:ind w:left="5760" w:hanging="360"/>
      </w:pPr>
      <w:rPr>
        <w:rFonts w:ascii="Arial" w:hAnsi="Arial" w:hint="default"/>
      </w:rPr>
    </w:lvl>
    <w:lvl w:ilvl="8" w:tplc="9B2087C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9585FF2"/>
    <w:multiLevelType w:val="hybridMultilevel"/>
    <w:tmpl w:val="24227C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B2D17B9"/>
    <w:multiLevelType w:val="hybridMultilevel"/>
    <w:tmpl w:val="8D86B77A"/>
    <w:lvl w:ilvl="0" w:tplc="50948FF4">
      <w:start w:val="1"/>
      <w:numFmt w:val="bullet"/>
      <w:lvlText w:val="•"/>
      <w:lvlJc w:val="left"/>
      <w:pPr>
        <w:tabs>
          <w:tab w:val="num" w:pos="720"/>
        </w:tabs>
        <w:ind w:left="720" w:hanging="360"/>
      </w:pPr>
      <w:rPr>
        <w:rFonts w:ascii="Arial" w:hAnsi="Arial" w:hint="default"/>
      </w:rPr>
    </w:lvl>
    <w:lvl w:ilvl="1" w:tplc="2EE8CEFC" w:tentative="1">
      <w:start w:val="1"/>
      <w:numFmt w:val="bullet"/>
      <w:lvlText w:val="•"/>
      <w:lvlJc w:val="left"/>
      <w:pPr>
        <w:tabs>
          <w:tab w:val="num" w:pos="1440"/>
        </w:tabs>
        <w:ind w:left="1440" w:hanging="360"/>
      </w:pPr>
      <w:rPr>
        <w:rFonts w:ascii="Arial" w:hAnsi="Arial" w:hint="default"/>
      </w:rPr>
    </w:lvl>
    <w:lvl w:ilvl="2" w:tplc="4FF61CFC" w:tentative="1">
      <w:start w:val="1"/>
      <w:numFmt w:val="bullet"/>
      <w:lvlText w:val="•"/>
      <w:lvlJc w:val="left"/>
      <w:pPr>
        <w:tabs>
          <w:tab w:val="num" w:pos="2160"/>
        </w:tabs>
        <w:ind w:left="2160" w:hanging="360"/>
      </w:pPr>
      <w:rPr>
        <w:rFonts w:ascii="Arial" w:hAnsi="Arial" w:hint="default"/>
      </w:rPr>
    </w:lvl>
    <w:lvl w:ilvl="3" w:tplc="32A8B542" w:tentative="1">
      <w:start w:val="1"/>
      <w:numFmt w:val="bullet"/>
      <w:lvlText w:val="•"/>
      <w:lvlJc w:val="left"/>
      <w:pPr>
        <w:tabs>
          <w:tab w:val="num" w:pos="2880"/>
        </w:tabs>
        <w:ind w:left="2880" w:hanging="360"/>
      </w:pPr>
      <w:rPr>
        <w:rFonts w:ascii="Arial" w:hAnsi="Arial" w:hint="default"/>
      </w:rPr>
    </w:lvl>
    <w:lvl w:ilvl="4" w:tplc="224407BA" w:tentative="1">
      <w:start w:val="1"/>
      <w:numFmt w:val="bullet"/>
      <w:lvlText w:val="•"/>
      <w:lvlJc w:val="left"/>
      <w:pPr>
        <w:tabs>
          <w:tab w:val="num" w:pos="3600"/>
        </w:tabs>
        <w:ind w:left="3600" w:hanging="360"/>
      </w:pPr>
      <w:rPr>
        <w:rFonts w:ascii="Arial" w:hAnsi="Arial" w:hint="default"/>
      </w:rPr>
    </w:lvl>
    <w:lvl w:ilvl="5" w:tplc="C6E02BD8" w:tentative="1">
      <w:start w:val="1"/>
      <w:numFmt w:val="bullet"/>
      <w:lvlText w:val="•"/>
      <w:lvlJc w:val="left"/>
      <w:pPr>
        <w:tabs>
          <w:tab w:val="num" w:pos="4320"/>
        </w:tabs>
        <w:ind w:left="4320" w:hanging="360"/>
      </w:pPr>
      <w:rPr>
        <w:rFonts w:ascii="Arial" w:hAnsi="Arial" w:hint="default"/>
      </w:rPr>
    </w:lvl>
    <w:lvl w:ilvl="6" w:tplc="4D1EDCA4" w:tentative="1">
      <w:start w:val="1"/>
      <w:numFmt w:val="bullet"/>
      <w:lvlText w:val="•"/>
      <w:lvlJc w:val="left"/>
      <w:pPr>
        <w:tabs>
          <w:tab w:val="num" w:pos="5040"/>
        </w:tabs>
        <w:ind w:left="5040" w:hanging="360"/>
      </w:pPr>
      <w:rPr>
        <w:rFonts w:ascii="Arial" w:hAnsi="Arial" w:hint="default"/>
      </w:rPr>
    </w:lvl>
    <w:lvl w:ilvl="7" w:tplc="4072E596" w:tentative="1">
      <w:start w:val="1"/>
      <w:numFmt w:val="bullet"/>
      <w:lvlText w:val="•"/>
      <w:lvlJc w:val="left"/>
      <w:pPr>
        <w:tabs>
          <w:tab w:val="num" w:pos="5760"/>
        </w:tabs>
        <w:ind w:left="5760" w:hanging="360"/>
      </w:pPr>
      <w:rPr>
        <w:rFonts w:ascii="Arial" w:hAnsi="Arial" w:hint="default"/>
      </w:rPr>
    </w:lvl>
    <w:lvl w:ilvl="8" w:tplc="5174330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B4F3DF4"/>
    <w:multiLevelType w:val="hybridMultilevel"/>
    <w:tmpl w:val="FFE81FB2"/>
    <w:lvl w:ilvl="0" w:tplc="31E80002">
      <w:start w:val="1"/>
      <w:numFmt w:val="decimal"/>
      <w:lvlText w:val="%1."/>
      <w:lvlJc w:val="left"/>
      <w:pPr>
        <w:tabs>
          <w:tab w:val="num" w:pos="720"/>
        </w:tabs>
        <w:ind w:left="720" w:hanging="360"/>
      </w:pPr>
    </w:lvl>
    <w:lvl w:ilvl="1" w:tplc="B418AEC0" w:tentative="1">
      <w:start w:val="1"/>
      <w:numFmt w:val="decimal"/>
      <w:lvlText w:val="%2."/>
      <w:lvlJc w:val="left"/>
      <w:pPr>
        <w:tabs>
          <w:tab w:val="num" w:pos="1440"/>
        </w:tabs>
        <w:ind w:left="1440" w:hanging="360"/>
      </w:pPr>
    </w:lvl>
    <w:lvl w:ilvl="2" w:tplc="7A9C575C" w:tentative="1">
      <w:start w:val="1"/>
      <w:numFmt w:val="decimal"/>
      <w:lvlText w:val="%3."/>
      <w:lvlJc w:val="left"/>
      <w:pPr>
        <w:tabs>
          <w:tab w:val="num" w:pos="2160"/>
        </w:tabs>
        <w:ind w:left="2160" w:hanging="360"/>
      </w:pPr>
    </w:lvl>
    <w:lvl w:ilvl="3" w:tplc="D854CB8A" w:tentative="1">
      <w:start w:val="1"/>
      <w:numFmt w:val="decimal"/>
      <w:lvlText w:val="%4."/>
      <w:lvlJc w:val="left"/>
      <w:pPr>
        <w:tabs>
          <w:tab w:val="num" w:pos="2880"/>
        </w:tabs>
        <w:ind w:left="2880" w:hanging="360"/>
      </w:pPr>
    </w:lvl>
    <w:lvl w:ilvl="4" w:tplc="E4BA329C" w:tentative="1">
      <w:start w:val="1"/>
      <w:numFmt w:val="decimal"/>
      <w:lvlText w:val="%5."/>
      <w:lvlJc w:val="left"/>
      <w:pPr>
        <w:tabs>
          <w:tab w:val="num" w:pos="3600"/>
        </w:tabs>
        <w:ind w:left="3600" w:hanging="360"/>
      </w:pPr>
    </w:lvl>
    <w:lvl w:ilvl="5" w:tplc="D05E3BBE" w:tentative="1">
      <w:start w:val="1"/>
      <w:numFmt w:val="decimal"/>
      <w:lvlText w:val="%6."/>
      <w:lvlJc w:val="left"/>
      <w:pPr>
        <w:tabs>
          <w:tab w:val="num" w:pos="4320"/>
        </w:tabs>
        <w:ind w:left="4320" w:hanging="360"/>
      </w:pPr>
    </w:lvl>
    <w:lvl w:ilvl="6" w:tplc="3B20A9DA" w:tentative="1">
      <w:start w:val="1"/>
      <w:numFmt w:val="decimal"/>
      <w:lvlText w:val="%7."/>
      <w:lvlJc w:val="left"/>
      <w:pPr>
        <w:tabs>
          <w:tab w:val="num" w:pos="5040"/>
        </w:tabs>
        <w:ind w:left="5040" w:hanging="360"/>
      </w:pPr>
    </w:lvl>
    <w:lvl w:ilvl="7" w:tplc="A10E3CD6" w:tentative="1">
      <w:start w:val="1"/>
      <w:numFmt w:val="decimal"/>
      <w:lvlText w:val="%8."/>
      <w:lvlJc w:val="left"/>
      <w:pPr>
        <w:tabs>
          <w:tab w:val="num" w:pos="5760"/>
        </w:tabs>
        <w:ind w:left="5760" w:hanging="360"/>
      </w:pPr>
    </w:lvl>
    <w:lvl w:ilvl="8" w:tplc="48DEC2DC" w:tentative="1">
      <w:start w:val="1"/>
      <w:numFmt w:val="decimal"/>
      <w:lvlText w:val="%9."/>
      <w:lvlJc w:val="left"/>
      <w:pPr>
        <w:tabs>
          <w:tab w:val="num" w:pos="6480"/>
        </w:tabs>
        <w:ind w:left="6480" w:hanging="360"/>
      </w:pPr>
    </w:lvl>
  </w:abstractNum>
  <w:abstractNum w:abstractNumId="14" w15:restartNumberingAfterBreak="0">
    <w:nsid w:val="2C045D0E"/>
    <w:multiLevelType w:val="hybridMultilevel"/>
    <w:tmpl w:val="787806DE"/>
    <w:lvl w:ilvl="0" w:tplc="EAAC651E">
      <w:start w:val="1"/>
      <w:numFmt w:val="bullet"/>
      <w:lvlText w:val="•"/>
      <w:lvlJc w:val="left"/>
      <w:pPr>
        <w:tabs>
          <w:tab w:val="num" w:pos="720"/>
        </w:tabs>
        <w:ind w:left="720" w:hanging="360"/>
      </w:pPr>
      <w:rPr>
        <w:rFonts w:ascii="Arial" w:hAnsi="Arial" w:hint="default"/>
      </w:rPr>
    </w:lvl>
    <w:lvl w:ilvl="1" w:tplc="9E384468" w:tentative="1">
      <w:start w:val="1"/>
      <w:numFmt w:val="bullet"/>
      <w:lvlText w:val="•"/>
      <w:lvlJc w:val="left"/>
      <w:pPr>
        <w:tabs>
          <w:tab w:val="num" w:pos="1440"/>
        </w:tabs>
        <w:ind w:left="1440" w:hanging="360"/>
      </w:pPr>
      <w:rPr>
        <w:rFonts w:ascii="Arial" w:hAnsi="Arial" w:hint="default"/>
      </w:rPr>
    </w:lvl>
    <w:lvl w:ilvl="2" w:tplc="BEEAB77A" w:tentative="1">
      <w:start w:val="1"/>
      <w:numFmt w:val="bullet"/>
      <w:lvlText w:val="•"/>
      <w:lvlJc w:val="left"/>
      <w:pPr>
        <w:tabs>
          <w:tab w:val="num" w:pos="2160"/>
        </w:tabs>
        <w:ind w:left="2160" w:hanging="360"/>
      </w:pPr>
      <w:rPr>
        <w:rFonts w:ascii="Arial" w:hAnsi="Arial" w:hint="default"/>
      </w:rPr>
    </w:lvl>
    <w:lvl w:ilvl="3" w:tplc="77380D94" w:tentative="1">
      <w:start w:val="1"/>
      <w:numFmt w:val="bullet"/>
      <w:lvlText w:val="•"/>
      <w:lvlJc w:val="left"/>
      <w:pPr>
        <w:tabs>
          <w:tab w:val="num" w:pos="2880"/>
        </w:tabs>
        <w:ind w:left="2880" w:hanging="360"/>
      </w:pPr>
      <w:rPr>
        <w:rFonts w:ascii="Arial" w:hAnsi="Arial" w:hint="default"/>
      </w:rPr>
    </w:lvl>
    <w:lvl w:ilvl="4" w:tplc="5FE093AA" w:tentative="1">
      <w:start w:val="1"/>
      <w:numFmt w:val="bullet"/>
      <w:lvlText w:val="•"/>
      <w:lvlJc w:val="left"/>
      <w:pPr>
        <w:tabs>
          <w:tab w:val="num" w:pos="3600"/>
        </w:tabs>
        <w:ind w:left="3600" w:hanging="360"/>
      </w:pPr>
      <w:rPr>
        <w:rFonts w:ascii="Arial" w:hAnsi="Arial" w:hint="default"/>
      </w:rPr>
    </w:lvl>
    <w:lvl w:ilvl="5" w:tplc="7EC6F6BE" w:tentative="1">
      <w:start w:val="1"/>
      <w:numFmt w:val="bullet"/>
      <w:lvlText w:val="•"/>
      <w:lvlJc w:val="left"/>
      <w:pPr>
        <w:tabs>
          <w:tab w:val="num" w:pos="4320"/>
        </w:tabs>
        <w:ind w:left="4320" w:hanging="360"/>
      </w:pPr>
      <w:rPr>
        <w:rFonts w:ascii="Arial" w:hAnsi="Arial" w:hint="default"/>
      </w:rPr>
    </w:lvl>
    <w:lvl w:ilvl="6" w:tplc="76DEC876" w:tentative="1">
      <w:start w:val="1"/>
      <w:numFmt w:val="bullet"/>
      <w:lvlText w:val="•"/>
      <w:lvlJc w:val="left"/>
      <w:pPr>
        <w:tabs>
          <w:tab w:val="num" w:pos="5040"/>
        </w:tabs>
        <w:ind w:left="5040" w:hanging="360"/>
      </w:pPr>
      <w:rPr>
        <w:rFonts w:ascii="Arial" w:hAnsi="Arial" w:hint="default"/>
      </w:rPr>
    </w:lvl>
    <w:lvl w:ilvl="7" w:tplc="00504732" w:tentative="1">
      <w:start w:val="1"/>
      <w:numFmt w:val="bullet"/>
      <w:lvlText w:val="•"/>
      <w:lvlJc w:val="left"/>
      <w:pPr>
        <w:tabs>
          <w:tab w:val="num" w:pos="5760"/>
        </w:tabs>
        <w:ind w:left="5760" w:hanging="360"/>
      </w:pPr>
      <w:rPr>
        <w:rFonts w:ascii="Arial" w:hAnsi="Arial" w:hint="default"/>
      </w:rPr>
    </w:lvl>
    <w:lvl w:ilvl="8" w:tplc="A1329C7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FB57A22"/>
    <w:multiLevelType w:val="multilevel"/>
    <w:tmpl w:val="88BC2CB0"/>
    <w:lvl w:ilvl="0">
      <w:start w:val="1"/>
      <w:numFmt w:val="decimal"/>
      <w:lvlText w:val="%1"/>
      <w:lvlJc w:val="left"/>
      <w:pPr>
        <w:ind w:left="360" w:hanging="36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1BE7CF5"/>
    <w:multiLevelType w:val="hybridMultilevel"/>
    <w:tmpl w:val="2B860C74"/>
    <w:lvl w:ilvl="0" w:tplc="1D9C56A0">
      <w:start w:val="1"/>
      <w:numFmt w:val="bullet"/>
      <w:lvlText w:val="•"/>
      <w:lvlJc w:val="left"/>
      <w:pPr>
        <w:tabs>
          <w:tab w:val="num" w:pos="720"/>
        </w:tabs>
        <w:ind w:left="720" w:hanging="360"/>
      </w:pPr>
      <w:rPr>
        <w:rFonts w:ascii="Arial" w:hAnsi="Arial" w:hint="default"/>
      </w:rPr>
    </w:lvl>
    <w:lvl w:ilvl="1" w:tplc="B0183EC6" w:tentative="1">
      <w:start w:val="1"/>
      <w:numFmt w:val="bullet"/>
      <w:lvlText w:val="•"/>
      <w:lvlJc w:val="left"/>
      <w:pPr>
        <w:tabs>
          <w:tab w:val="num" w:pos="1440"/>
        </w:tabs>
        <w:ind w:left="1440" w:hanging="360"/>
      </w:pPr>
      <w:rPr>
        <w:rFonts w:ascii="Arial" w:hAnsi="Arial" w:hint="default"/>
      </w:rPr>
    </w:lvl>
    <w:lvl w:ilvl="2" w:tplc="C7606000" w:tentative="1">
      <w:start w:val="1"/>
      <w:numFmt w:val="bullet"/>
      <w:lvlText w:val="•"/>
      <w:lvlJc w:val="left"/>
      <w:pPr>
        <w:tabs>
          <w:tab w:val="num" w:pos="2160"/>
        </w:tabs>
        <w:ind w:left="2160" w:hanging="360"/>
      </w:pPr>
      <w:rPr>
        <w:rFonts w:ascii="Arial" w:hAnsi="Arial" w:hint="default"/>
      </w:rPr>
    </w:lvl>
    <w:lvl w:ilvl="3" w:tplc="5B380050" w:tentative="1">
      <w:start w:val="1"/>
      <w:numFmt w:val="bullet"/>
      <w:lvlText w:val="•"/>
      <w:lvlJc w:val="left"/>
      <w:pPr>
        <w:tabs>
          <w:tab w:val="num" w:pos="2880"/>
        </w:tabs>
        <w:ind w:left="2880" w:hanging="360"/>
      </w:pPr>
      <w:rPr>
        <w:rFonts w:ascii="Arial" w:hAnsi="Arial" w:hint="default"/>
      </w:rPr>
    </w:lvl>
    <w:lvl w:ilvl="4" w:tplc="65446F8E" w:tentative="1">
      <w:start w:val="1"/>
      <w:numFmt w:val="bullet"/>
      <w:lvlText w:val="•"/>
      <w:lvlJc w:val="left"/>
      <w:pPr>
        <w:tabs>
          <w:tab w:val="num" w:pos="3600"/>
        </w:tabs>
        <w:ind w:left="3600" w:hanging="360"/>
      </w:pPr>
      <w:rPr>
        <w:rFonts w:ascii="Arial" w:hAnsi="Arial" w:hint="default"/>
      </w:rPr>
    </w:lvl>
    <w:lvl w:ilvl="5" w:tplc="F3A80A42" w:tentative="1">
      <w:start w:val="1"/>
      <w:numFmt w:val="bullet"/>
      <w:lvlText w:val="•"/>
      <w:lvlJc w:val="left"/>
      <w:pPr>
        <w:tabs>
          <w:tab w:val="num" w:pos="4320"/>
        </w:tabs>
        <w:ind w:left="4320" w:hanging="360"/>
      </w:pPr>
      <w:rPr>
        <w:rFonts w:ascii="Arial" w:hAnsi="Arial" w:hint="default"/>
      </w:rPr>
    </w:lvl>
    <w:lvl w:ilvl="6" w:tplc="D0D28B1C" w:tentative="1">
      <w:start w:val="1"/>
      <w:numFmt w:val="bullet"/>
      <w:lvlText w:val="•"/>
      <w:lvlJc w:val="left"/>
      <w:pPr>
        <w:tabs>
          <w:tab w:val="num" w:pos="5040"/>
        </w:tabs>
        <w:ind w:left="5040" w:hanging="360"/>
      </w:pPr>
      <w:rPr>
        <w:rFonts w:ascii="Arial" w:hAnsi="Arial" w:hint="default"/>
      </w:rPr>
    </w:lvl>
    <w:lvl w:ilvl="7" w:tplc="50540AB0" w:tentative="1">
      <w:start w:val="1"/>
      <w:numFmt w:val="bullet"/>
      <w:lvlText w:val="•"/>
      <w:lvlJc w:val="left"/>
      <w:pPr>
        <w:tabs>
          <w:tab w:val="num" w:pos="5760"/>
        </w:tabs>
        <w:ind w:left="5760" w:hanging="360"/>
      </w:pPr>
      <w:rPr>
        <w:rFonts w:ascii="Arial" w:hAnsi="Arial" w:hint="default"/>
      </w:rPr>
    </w:lvl>
    <w:lvl w:ilvl="8" w:tplc="7A94195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3D412BC"/>
    <w:multiLevelType w:val="hybridMultilevel"/>
    <w:tmpl w:val="812012FC"/>
    <w:lvl w:ilvl="0" w:tplc="8F509C8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062C72"/>
    <w:multiLevelType w:val="hybridMultilevel"/>
    <w:tmpl w:val="8EC20C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3F445DA8"/>
    <w:multiLevelType w:val="hybridMultilevel"/>
    <w:tmpl w:val="9A60D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D903CA"/>
    <w:multiLevelType w:val="hybridMultilevel"/>
    <w:tmpl w:val="0E58C170"/>
    <w:lvl w:ilvl="0" w:tplc="16200BEE">
      <w:start w:val="1"/>
      <w:numFmt w:val="bullet"/>
      <w:pStyle w:val="BulletList"/>
      <w:lvlText w:val=""/>
      <w:lvlJc w:val="left"/>
      <w:pPr>
        <w:ind w:left="1080" w:hanging="360"/>
      </w:pPr>
      <w:rPr>
        <w:rFonts w:ascii="Symbol" w:hAnsi="Symbol" w:cs="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cs="Wingdings" w:hint="default"/>
      </w:rPr>
    </w:lvl>
    <w:lvl w:ilvl="3" w:tplc="0C090001" w:tentative="1">
      <w:start w:val="1"/>
      <w:numFmt w:val="bullet"/>
      <w:lvlText w:val=""/>
      <w:lvlJc w:val="left"/>
      <w:pPr>
        <w:ind w:left="3240" w:hanging="360"/>
      </w:pPr>
      <w:rPr>
        <w:rFonts w:ascii="Symbol" w:hAnsi="Symbol" w:cs="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cs="Wingdings" w:hint="default"/>
      </w:rPr>
    </w:lvl>
    <w:lvl w:ilvl="6" w:tplc="0C090001" w:tentative="1">
      <w:start w:val="1"/>
      <w:numFmt w:val="bullet"/>
      <w:lvlText w:val=""/>
      <w:lvlJc w:val="left"/>
      <w:pPr>
        <w:ind w:left="5400" w:hanging="360"/>
      </w:pPr>
      <w:rPr>
        <w:rFonts w:ascii="Symbol" w:hAnsi="Symbol" w:cs="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cs="Wingdings" w:hint="default"/>
      </w:rPr>
    </w:lvl>
  </w:abstractNum>
  <w:abstractNum w:abstractNumId="21" w15:restartNumberingAfterBreak="0">
    <w:nsid w:val="41190AA9"/>
    <w:multiLevelType w:val="multilevel"/>
    <w:tmpl w:val="54E2E082"/>
    <w:lvl w:ilvl="0">
      <w:start w:val="9"/>
      <w:numFmt w:val="decimal"/>
      <w:lvlText w:val="%1"/>
      <w:lvlJc w:val="left"/>
      <w:pPr>
        <w:ind w:left="360" w:hanging="36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C67495C"/>
    <w:multiLevelType w:val="hybridMultilevel"/>
    <w:tmpl w:val="20965C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4D0B5B67"/>
    <w:multiLevelType w:val="hybridMultilevel"/>
    <w:tmpl w:val="6A2237CC"/>
    <w:lvl w:ilvl="0" w:tplc="10666EA4">
      <w:start w:val="1"/>
      <w:numFmt w:val="bullet"/>
      <w:lvlText w:val="•"/>
      <w:lvlJc w:val="left"/>
      <w:pPr>
        <w:tabs>
          <w:tab w:val="num" w:pos="720"/>
        </w:tabs>
        <w:ind w:left="720" w:hanging="360"/>
      </w:pPr>
      <w:rPr>
        <w:rFonts w:ascii="Arial" w:hAnsi="Arial" w:hint="default"/>
      </w:rPr>
    </w:lvl>
    <w:lvl w:ilvl="1" w:tplc="F50EBBA8" w:tentative="1">
      <w:start w:val="1"/>
      <w:numFmt w:val="bullet"/>
      <w:lvlText w:val="•"/>
      <w:lvlJc w:val="left"/>
      <w:pPr>
        <w:tabs>
          <w:tab w:val="num" w:pos="1440"/>
        </w:tabs>
        <w:ind w:left="1440" w:hanging="360"/>
      </w:pPr>
      <w:rPr>
        <w:rFonts w:ascii="Arial" w:hAnsi="Arial" w:hint="default"/>
      </w:rPr>
    </w:lvl>
    <w:lvl w:ilvl="2" w:tplc="CA968E3E" w:tentative="1">
      <w:start w:val="1"/>
      <w:numFmt w:val="bullet"/>
      <w:lvlText w:val="•"/>
      <w:lvlJc w:val="left"/>
      <w:pPr>
        <w:tabs>
          <w:tab w:val="num" w:pos="2160"/>
        </w:tabs>
        <w:ind w:left="2160" w:hanging="360"/>
      </w:pPr>
      <w:rPr>
        <w:rFonts w:ascii="Arial" w:hAnsi="Arial" w:hint="default"/>
      </w:rPr>
    </w:lvl>
    <w:lvl w:ilvl="3" w:tplc="84BE110A" w:tentative="1">
      <w:start w:val="1"/>
      <w:numFmt w:val="bullet"/>
      <w:lvlText w:val="•"/>
      <w:lvlJc w:val="left"/>
      <w:pPr>
        <w:tabs>
          <w:tab w:val="num" w:pos="2880"/>
        </w:tabs>
        <w:ind w:left="2880" w:hanging="360"/>
      </w:pPr>
      <w:rPr>
        <w:rFonts w:ascii="Arial" w:hAnsi="Arial" w:hint="default"/>
      </w:rPr>
    </w:lvl>
    <w:lvl w:ilvl="4" w:tplc="2E6648EC" w:tentative="1">
      <w:start w:val="1"/>
      <w:numFmt w:val="bullet"/>
      <w:lvlText w:val="•"/>
      <w:lvlJc w:val="left"/>
      <w:pPr>
        <w:tabs>
          <w:tab w:val="num" w:pos="3600"/>
        </w:tabs>
        <w:ind w:left="3600" w:hanging="360"/>
      </w:pPr>
      <w:rPr>
        <w:rFonts w:ascii="Arial" w:hAnsi="Arial" w:hint="default"/>
      </w:rPr>
    </w:lvl>
    <w:lvl w:ilvl="5" w:tplc="DACA0F2C" w:tentative="1">
      <w:start w:val="1"/>
      <w:numFmt w:val="bullet"/>
      <w:lvlText w:val="•"/>
      <w:lvlJc w:val="left"/>
      <w:pPr>
        <w:tabs>
          <w:tab w:val="num" w:pos="4320"/>
        </w:tabs>
        <w:ind w:left="4320" w:hanging="360"/>
      </w:pPr>
      <w:rPr>
        <w:rFonts w:ascii="Arial" w:hAnsi="Arial" w:hint="default"/>
      </w:rPr>
    </w:lvl>
    <w:lvl w:ilvl="6" w:tplc="55F0684C" w:tentative="1">
      <w:start w:val="1"/>
      <w:numFmt w:val="bullet"/>
      <w:lvlText w:val="•"/>
      <w:lvlJc w:val="left"/>
      <w:pPr>
        <w:tabs>
          <w:tab w:val="num" w:pos="5040"/>
        </w:tabs>
        <w:ind w:left="5040" w:hanging="360"/>
      </w:pPr>
      <w:rPr>
        <w:rFonts w:ascii="Arial" w:hAnsi="Arial" w:hint="default"/>
      </w:rPr>
    </w:lvl>
    <w:lvl w:ilvl="7" w:tplc="A740E9FE" w:tentative="1">
      <w:start w:val="1"/>
      <w:numFmt w:val="bullet"/>
      <w:lvlText w:val="•"/>
      <w:lvlJc w:val="left"/>
      <w:pPr>
        <w:tabs>
          <w:tab w:val="num" w:pos="5760"/>
        </w:tabs>
        <w:ind w:left="5760" w:hanging="360"/>
      </w:pPr>
      <w:rPr>
        <w:rFonts w:ascii="Arial" w:hAnsi="Arial" w:hint="default"/>
      </w:rPr>
    </w:lvl>
    <w:lvl w:ilvl="8" w:tplc="6F7C52F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D643664"/>
    <w:multiLevelType w:val="hybridMultilevel"/>
    <w:tmpl w:val="26FCED0E"/>
    <w:lvl w:ilvl="0" w:tplc="D74C2B72">
      <w:start w:val="1"/>
      <w:numFmt w:val="decimal"/>
      <w:pStyle w:va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3966EF2"/>
    <w:multiLevelType w:val="hybridMultilevel"/>
    <w:tmpl w:val="0054E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E945F4"/>
    <w:multiLevelType w:val="hybridMultilevel"/>
    <w:tmpl w:val="DB48D8A8"/>
    <w:lvl w:ilvl="0" w:tplc="1F5C83E8">
      <w:start w:val="1"/>
      <w:numFmt w:val="bullet"/>
      <w:lvlText w:val="•"/>
      <w:lvlJc w:val="left"/>
      <w:pPr>
        <w:tabs>
          <w:tab w:val="num" w:pos="720"/>
        </w:tabs>
        <w:ind w:left="720" w:hanging="360"/>
      </w:pPr>
      <w:rPr>
        <w:rFonts w:ascii="Arial" w:hAnsi="Arial" w:hint="default"/>
      </w:rPr>
    </w:lvl>
    <w:lvl w:ilvl="1" w:tplc="E006EE80" w:tentative="1">
      <w:start w:val="1"/>
      <w:numFmt w:val="bullet"/>
      <w:lvlText w:val="•"/>
      <w:lvlJc w:val="left"/>
      <w:pPr>
        <w:tabs>
          <w:tab w:val="num" w:pos="1440"/>
        </w:tabs>
        <w:ind w:left="1440" w:hanging="360"/>
      </w:pPr>
      <w:rPr>
        <w:rFonts w:ascii="Arial" w:hAnsi="Arial" w:hint="default"/>
      </w:rPr>
    </w:lvl>
    <w:lvl w:ilvl="2" w:tplc="3E4C4B5A" w:tentative="1">
      <w:start w:val="1"/>
      <w:numFmt w:val="bullet"/>
      <w:lvlText w:val="•"/>
      <w:lvlJc w:val="left"/>
      <w:pPr>
        <w:tabs>
          <w:tab w:val="num" w:pos="2160"/>
        </w:tabs>
        <w:ind w:left="2160" w:hanging="360"/>
      </w:pPr>
      <w:rPr>
        <w:rFonts w:ascii="Arial" w:hAnsi="Arial" w:hint="default"/>
      </w:rPr>
    </w:lvl>
    <w:lvl w:ilvl="3" w:tplc="3B12955E" w:tentative="1">
      <w:start w:val="1"/>
      <w:numFmt w:val="bullet"/>
      <w:lvlText w:val="•"/>
      <w:lvlJc w:val="left"/>
      <w:pPr>
        <w:tabs>
          <w:tab w:val="num" w:pos="2880"/>
        </w:tabs>
        <w:ind w:left="2880" w:hanging="360"/>
      </w:pPr>
      <w:rPr>
        <w:rFonts w:ascii="Arial" w:hAnsi="Arial" w:hint="default"/>
      </w:rPr>
    </w:lvl>
    <w:lvl w:ilvl="4" w:tplc="B922C21C" w:tentative="1">
      <w:start w:val="1"/>
      <w:numFmt w:val="bullet"/>
      <w:lvlText w:val="•"/>
      <w:lvlJc w:val="left"/>
      <w:pPr>
        <w:tabs>
          <w:tab w:val="num" w:pos="3600"/>
        </w:tabs>
        <w:ind w:left="3600" w:hanging="360"/>
      </w:pPr>
      <w:rPr>
        <w:rFonts w:ascii="Arial" w:hAnsi="Arial" w:hint="default"/>
      </w:rPr>
    </w:lvl>
    <w:lvl w:ilvl="5" w:tplc="41140BBA" w:tentative="1">
      <w:start w:val="1"/>
      <w:numFmt w:val="bullet"/>
      <w:lvlText w:val="•"/>
      <w:lvlJc w:val="left"/>
      <w:pPr>
        <w:tabs>
          <w:tab w:val="num" w:pos="4320"/>
        </w:tabs>
        <w:ind w:left="4320" w:hanging="360"/>
      </w:pPr>
      <w:rPr>
        <w:rFonts w:ascii="Arial" w:hAnsi="Arial" w:hint="default"/>
      </w:rPr>
    </w:lvl>
    <w:lvl w:ilvl="6" w:tplc="4DC606D0" w:tentative="1">
      <w:start w:val="1"/>
      <w:numFmt w:val="bullet"/>
      <w:lvlText w:val="•"/>
      <w:lvlJc w:val="left"/>
      <w:pPr>
        <w:tabs>
          <w:tab w:val="num" w:pos="5040"/>
        </w:tabs>
        <w:ind w:left="5040" w:hanging="360"/>
      </w:pPr>
      <w:rPr>
        <w:rFonts w:ascii="Arial" w:hAnsi="Arial" w:hint="default"/>
      </w:rPr>
    </w:lvl>
    <w:lvl w:ilvl="7" w:tplc="B26C8A52" w:tentative="1">
      <w:start w:val="1"/>
      <w:numFmt w:val="bullet"/>
      <w:lvlText w:val="•"/>
      <w:lvlJc w:val="left"/>
      <w:pPr>
        <w:tabs>
          <w:tab w:val="num" w:pos="5760"/>
        </w:tabs>
        <w:ind w:left="5760" w:hanging="360"/>
      </w:pPr>
      <w:rPr>
        <w:rFonts w:ascii="Arial" w:hAnsi="Arial" w:hint="default"/>
      </w:rPr>
    </w:lvl>
    <w:lvl w:ilvl="8" w:tplc="DCCE80F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6C459F1"/>
    <w:multiLevelType w:val="multilevel"/>
    <w:tmpl w:val="88BC2CB0"/>
    <w:lvl w:ilvl="0">
      <w:start w:val="1"/>
      <w:numFmt w:val="decimal"/>
      <w:lvlText w:val="%1"/>
      <w:lvlJc w:val="left"/>
      <w:pPr>
        <w:ind w:left="360" w:hanging="36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6D27EA7"/>
    <w:multiLevelType w:val="hybridMultilevel"/>
    <w:tmpl w:val="489AA9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5D0D0AB4"/>
    <w:multiLevelType w:val="multilevel"/>
    <w:tmpl w:val="88BC2CB0"/>
    <w:lvl w:ilvl="0">
      <w:start w:val="1"/>
      <w:numFmt w:val="decimal"/>
      <w:lvlText w:val="%1"/>
      <w:lvlJc w:val="left"/>
      <w:pPr>
        <w:ind w:left="360" w:hanging="36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F6748D0"/>
    <w:multiLevelType w:val="multilevel"/>
    <w:tmpl w:val="88BC2CB0"/>
    <w:lvl w:ilvl="0">
      <w:start w:val="1"/>
      <w:numFmt w:val="decimal"/>
      <w:lvlText w:val="%1"/>
      <w:lvlJc w:val="left"/>
      <w:pPr>
        <w:ind w:left="360" w:hanging="36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0057A55"/>
    <w:multiLevelType w:val="hybridMultilevel"/>
    <w:tmpl w:val="E9E20550"/>
    <w:lvl w:ilvl="0" w:tplc="16704DC6">
      <w:start w:val="1"/>
      <w:numFmt w:val="bullet"/>
      <w:lvlText w:val="•"/>
      <w:lvlJc w:val="left"/>
      <w:pPr>
        <w:tabs>
          <w:tab w:val="num" w:pos="720"/>
        </w:tabs>
        <w:ind w:left="720" w:hanging="360"/>
      </w:pPr>
      <w:rPr>
        <w:rFonts w:ascii="Arial" w:hAnsi="Arial" w:hint="default"/>
      </w:rPr>
    </w:lvl>
    <w:lvl w:ilvl="1" w:tplc="0FD0F8F0" w:tentative="1">
      <w:start w:val="1"/>
      <w:numFmt w:val="bullet"/>
      <w:lvlText w:val="•"/>
      <w:lvlJc w:val="left"/>
      <w:pPr>
        <w:tabs>
          <w:tab w:val="num" w:pos="1440"/>
        </w:tabs>
        <w:ind w:left="1440" w:hanging="360"/>
      </w:pPr>
      <w:rPr>
        <w:rFonts w:ascii="Arial" w:hAnsi="Arial" w:hint="default"/>
      </w:rPr>
    </w:lvl>
    <w:lvl w:ilvl="2" w:tplc="9116A5EA" w:tentative="1">
      <w:start w:val="1"/>
      <w:numFmt w:val="bullet"/>
      <w:lvlText w:val="•"/>
      <w:lvlJc w:val="left"/>
      <w:pPr>
        <w:tabs>
          <w:tab w:val="num" w:pos="2160"/>
        </w:tabs>
        <w:ind w:left="2160" w:hanging="360"/>
      </w:pPr>
      <w:rPr>
        <w:rFonts w:ascii="Arial" w:hAnsi="Arial" w:hint="default"/>
      </w:rPr>
    </w:lvl>
    <w:lvl w:ilvl="3" w:tplc="B666F23C" w:tentative="1">
      <w:start w:val="1"/>
      <w:numFmt w:val="bullet"/>
      <w:lvlText w:val="•"/>
      <w:lvlJc w:val="left"/>
      <w:pPr>
        <w:tabs>
          <w:tab w:val="num" w:pos="2880"/>
        </w:tabs>
        <w:ind w:left="2880" w:hanging="360"/>
      </w:pPr>
      <w:rPr>
        <w:rFonts w:ascii="Arial" w:hAnsi="Arial" w:hint="default"/>
      </w:rPr>
    </w:lvl>
    <w:lvl w:ilvl="4" w:tplc="9960A0C0" w:tentative="1">
      <w:start w:val="1"/>
      <w:numFmt w:val="bullet"/>
      <w:lvlText w:val="•"/>
      <w:lvlJc w:val="left"/>
      <w:pPr>
        <w:tabs>
          <w:tab w:val="num" w:pos="3600"/>
        </w:tabs>
        <w:ind w:left="3600" w:hanging="360"/>
      </w:pPr>
      <w:rPr>
        <w:rFonts w:ascii="Arial" w:hAnsi="Arial" w:hint="default"/>
      </w:rPr>
    </w:lvl>
    <w:lvl w:ilvl="5" w:tplc="6C66F122" w:tentative="1">
      <w:start w:val="1"/>
      <w:numFmt w:val="bullet"/>
      <w:lvlText w:val="•"/>
      <w:lvlJc w:val="left"/>
      <w:pPr>
        <w:tabs>
          <w:tab w:val="num" w:pos="4320"/>
        </w:tabs>
        <w:ind w:left="4320" w:hanging="360"/>
      </w:pPr>
      <w:rPr>
        <w:rFonts w:ascii="Arial" w:hAnsi="Arial" w:hint="default"/>
      </w:rPr>
    </w:lvl>
    <w:lvl w:ilvl="6" w:tplc="4F70CCCA" w:tentative="1">
      <w:start w:val="1"/>
      <w:numFmt w:val="bullet"/>
      <w:lvlText w:val="•"/>
      <w:lvlJc w:val="left"/>
      <w:pPr>
        <w:tabs>
          <w:tab w:val="num" w:pos="5040"/>
        </w:tabs>
        <w:ind w:left="5040" w:hanging="360"/>
      </w:pPr>
      <w:rPr>
        <w:rFonts w:ascii="Arial" w:hAnsi="Arial" w:hint="default"/>
      </w:rPr>
    </w:lvl>
    <w:lvl w:ilvl="7" w:tplc="1E0AC5A0" w:tentative="1">
      <w:start w:val="1"/>
      <w:numFmt w:val="bullet"/>
      <w:lvlText w:val="•"/>
      <w:lvlJc w:val="left"/>
      <w:pPr>
        <w:tabs>
          <w:tab w:val="num" w:pos="5760"/>
        </w:tabs>
        <w:ind w:left="5760" w:hanging="360"/>
      </w:pPr>
      <w:rPr>
        <w:rFonts w:ascii="Arial" w:hAnsi="Arial" w:hint="default"/>
      </w:rPr>
    </w:lvl>
    <w:lvl w:ilvl="8" w:tplc="329E5C2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4DF7EA1"/>
    <w:multiLevelType w:val="hybridMultilevel"/>
    <w:tmpl w:val="91EC8A92"/>
    <w:lvl w:ilvl="0" w:tplc="0C090003">
      <w:start w:val="1"/>
      <w:numFmt w:val="bullet"/>
      <w:lvlText w:val="o"/>
      <w:lvlJc w:val="left"/>
      <w:pPr>
        <w:ind w:left="2520" w:hanging="360"/>
      </w:pPr>
      <w:rPr>
        <w:rFonts w:ascii="Courier New" w:hAnsi="Courier New" w:cs="Courier New"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3" w15:restartNumberingAfterBreak="0">
    <w:nsid w:val="6C235923"/>
    <w:multiLevelType w:val="hybridMultilevel"/>
    <w:tmpl w:val="CB58A3C4"/>
    <w:lvl w:ilvl="0" w:tplc="3970DF44">
      <w:start w:val="1"/>
      <w:numFmt w:val="bullet"/>
      <w:lvlText w:val="•"/>
      <w:lvlJc w:val="left"/>
      <w:pPr>
        <w:tabs>
          <w:tab w:val="num" w:pos="720"/>
        </w:tabs>
        <w:ind w:left="720" w:hanging="360"/>
      </w:pPr>
      <w:rPr>
        <w:rFonts w:ascii="Arial" w:hAnsi="Arial" w:hint="default"/>
      </w:rPr>
    </w:lvl>
    <w:lvl w:ilvl="1" w:tplc="C6565378" w:tentative="1">
      <w:start w:val="1"/>
      <w:numFmt w:val="bullet"/>
      <w:lvlText w:val="•"/>
      <w:lvlJc w:val="left"/>
      <w:pPr>
        <w:tabs>
          <w:tab w:val="num" w:pos="1440"/>
        </w:tabs>
        <w:ind w:left="1440" w:hanging="360"/>
      </w:pPr>
      <w:rPr>
        <w:rFonts w:ascii="Arial" w:hAnsi="Arial" w:hint="default"/>
      </w:rPr>
    </w:lvl>
    <w:lvl w:ilvl="2" w:tplc="A280934E" w:tentative="1">
      <w:start w:val="1"/>
      <w:numFmt w:val="bullet"/>
      <w:lvlText w:val="•"/>
      <w:lvlJc w:val="left"/>
      <w:pPr>
        <w:tabs>
          <w:tab w:val="num" w:pos="2160"/>
        </w:tabs>
        <w:ind w:left="2160" w:hanging="360"/>
      </w:pPr>
      <w:rPr>
        <w:rFonts w:ascii="Arial" w:hAnsi="Arial" w:hint="default"/>
      </w:rPr>
    </w:lvl>
    <w:lvl w:ilvl="3" w:tplc="A22C1882" w:tentative="1">
      <w:start w:val="1"/>
      <w:numFmt w:val="bullet"/>
      <w:lvlText w:val="•"/>
      <w:lvlJc w:val="left"/>
      <w:pPr>
        <w:tabs>
          <w:tab w:val="num" w:pos="2880"/>
        </w:tabs>
        <w:ind w:left="2880" w:hanging="360"/>
      </w:pPr>
      <w:rPr>
        <w:rFonts w:ascii="Arial" w:hAnsi="Arial" w:hint="default"/>
      </w:rPr>
    </w:lvl>
    <w:lvl w:ilvl="4" w:tplc="9490F37E" w:tentative="1">
      <w:start w:val="1"/>
      <w:numFmt w:val="bullet"/>
      <w:lvlText w:val="•"/>
      <w:lvlJc w:val="left"/>
      <w:pPr>
        <w:tabs>
          <w:tab w:val="num" w:pos="3600"/>
        </w:tabs>
        <w:ind w:left="3600" w:hanging="360"/>
      </w:pPr>
      <w:rPr>
        <w:rFonts w:ascii="Arial" w:hAnsi="Arial" w:hint="default"/>
      </w:rPr>
    </w:lvl>
    <w:lvl w:ilvl="5" w:tplc="AFE0C30E" w:tentative="1">
      <w:start w:val="1"/>
      <w:numFmt w:val="bullet"/>
      <w:lvlText w:val="•"/>
      <w:lvlJc w:val="left"/>
      <w:pPr>
        <w:tabs>
          <w:tab w:val="num" w:pos="4320"/>
        </w:tabs>
        <w:ind w:left="4320" w:hanging="360"/>
      </w:pPr>
      <w:rPr>
        <w:rFonts w:ascii="Arial" w:hAnsi="Arial" w:hint="default"/>
      </w:rPr>
    </w:lvl>
    <w:lvl w:ilvl="6" w:tplc="8756848C" w:tentative="1">
      <w:start w:val="1"/>
      <w:numFmt w:val="bullet"/>
      <w:lvlText w:val="•"/>
      <w:lvlJc w:val="left"/>
      <w:pPr>
        <w:tabs>
          <w:tab w:val="num" w:pos="5040"/>
        </w:tabs>
        <w:ind w:left="5040" w:hanging="360"/>
      </w:pPr>
      <w:rPr>
        <w:rFonts w:ascii="Arial" w:hAnsi="Arial" w:hint="default"/>
      </w:rPr>
    </w:lvl>
    <w:lvl w:ilvl="7" w:tplc="8A5EC868" w:tentative="1">
      <w:start w:val="1"/>
      <w:numFmt w:val="bullet"/>
      <w:lvlText w:val="•"/>
      <w:lvlJc w:val="left"/>
      <w:pPr>
        <w:tabs>
          <w:tab w:val="num" w:pos="5760"/>
        </w:tabs>
        <w:ind w:left="5760" w:hanging="360"/>
      </w:pPr>
      <w:rPr>
        <w:rFonts w:ascii="Arial" w:hAnsi="Arial" w:hint="default"/>
      </w:rPr>
    </w:lvl>
    <w:lvl w:ilvl="8" w:tplc="EA0EC1D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C5B3499"/>
    <w:multiLevelType w:val="hybridMultilevel"/>
    <w:tmpl w:val="0A9E92EE"/>
    <w:lvl w:ilvl="0" w:tplc="20221866">
      <w:start w:val="1"/>
      <w:numFmt w:val="bullet"/>
      <w:lvlText w:val="•"/>
      <w:lvlJc w:val="left"/>
      <w:pPr>
        <w:tabs>
          <w:tab w:val="num" w:pos="720"/>
        </w:tabs>
        <w:ind w:left="720" w:hanging="360"/>
      </w:pPr>
      <w:rPr>
        <w:rFonts w:ascii="Arial" w:hAnsi="Arial" w:hint="default"/>
      </w:rPr>
    </w:lvl>
    <w:lvl w:ilvl="1" w:tplc="722C9B26" w:tentative="1">
      <w:start w:val="1"/>
      <w:numFmt w:val="bullet"/>
      <w:lvlText w:val="•"/>
      <w:lvlJc w:val="left"/>
      <w:pPr>
        <w:tabs>
          <w:tab w:val="num" w:pos="1440"/>
        </w:tabs>
        <w:ind w:left="1440" w:hanging="360"/>
      </w:pPr>
      <w:rPr>
        <w:rFonts w:ascii="Arial" w:hAnsi="Arial" w:hint="default"/>
      </w:rPr>
    </w:lvl>
    <w:lvl w:ilvl="2" w:tplc="942AB9E8" w:tentative="1">
      <w:start w:val="1"/>
      <w:numFmt w:val="bullet"/>
      <w:lvlText w:val="•"/>
      <w:lvlJc w:val="left"/>
      <w:pPr>
        <w:tabs>
          <w:tab w:val="num" w:pos="2160"/>
        </w:tabs>
        <w:ind w:left="2160" w:hanging="360"/>
      </w:pPr>
      <w:rPr>
        <w:rFonts w:ascii="Arial" w:hAnsi="Arial" w:hint="default"/>
      </w:rPr>
    </w:lvl>
    <w:lvl w:ilvl="3" w:tplc="A52287A0" w:tentative="1">
      <w:start w:val="1"/>
      <w:numFmt w:val="bullet"/>
      <w:lvlText w:val="•"/>
      <w:lvlJc w:val="left"/>
      <w:pPr>
        <w:tabs>
          <w:tab w:val="num" w:pos="2880"/>
        </w:tabs>
        <w:ind w:left="2880" w:hanging="360"/>
      </w:pPr>
      <w:rPr>
        <w:rFonts w:ascii="Arial" w:hAnsi="Arial" w:hint="default"/>
      </w:rPr>
    </w:lvl>
    <w:lvl w:ilvl="4" w:tplc="9E06BD64" w:tentative="1">
      <w:start w:val="1"/>
      <w:numFmt w:val="bullet"/>
      <w:lvlText w:val="•"/>
      <w:lvlJc w:val="left"/>
      <w:pPr>
        <w:tabs>
          <w:tab w:val="num" w:pos="3600"/>
        </w:tabs>
        <w:ind w:left="3600" w:hanging="360"/>
      </w:pPr>
      <w:rPr>
        <w:rFonts w:ascii="Arial" w:hAnsi="Arial" w:hint="default"/>
      </w:rPr>
    </w:lvl>
    <w:lvl w:ilvl="5" w:tplc="55E48352" w:tentative="1">
      <w:start w:val="1"/>
      <w:numFmt w:val="bullet"/>
      <w:lvlText w:val="•"/>
      <w:lvlJc w:val="left"/>
      <w:pPr>
        <w:tabs>
          <w:tab w:val="num" w:pos="4320"/>
        </w:tabs>
        <w:ind w:left="4320" w:hanging="360"/>
      </w:pPr>
      <w:rPr>
        <w:rFonts w:ascii="Arial" w:hAnsi="Arial" w:hint="default"/>
      </w:rPr>
    </w:lvl>
    <w:lvl w:ilvl="6" w:tplc="7048E1D2" w:tentative="1">
      <w:start w:val="1"/>
      <w:numFmt w:val="bullet"/>
      <w:lvlText w:val="•"/>
      <w:lvlJc w:val="left"/>
      <w:pPr>
        <w:tabs>
          <w:tab w:val="num" w:pos="5040"/>
        </w:tabs>
        <w:ind w:left="5040" w:hanging="360"/>
      </w:pPr>
      <w:rPr>
        <w:rFonts w:ascii="Arial" w:hAnsi="Arial" w:hint="default"/>
      </w:rPr>
    </w:lvl>
    <w:lvl w:ilvl="7" w:tplc="D7825996" w:tentative="1">
      <w:start w:val="1"/>
      <w:numFmt w:val="bullet"/>
      <w:lvlText w:val="•"/>
      <w:lvlJc w:val="left"/>
      <w:pPr>
        <w:tabs>
          <w:tab w:val="num" w:pos="5760"/>
        </w:tabs>
        <w:ind w:left="5760" w:hanging="360"/>
      </w:pPr>
      <w:rPr>
        <w:rFonts w:ascii="Arial" w:hAnsi="Arial" w:hint="default"/>
      </w:rPr>
    </w:lvl>
    <w:lvl w:ilvl="8" w:tplc="4996516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2185339"/>
    <w:multiLevelType w:val="hybridMultilevel"/>
    <w:tmpl w:val="20E2D7BA"/>
    <w:lvl w:ilvl="0" w:tplc="803A9232">
      <w:numFmt w:val="bullet"/>
      <w:lvlText w:val="-"/>
      <w:lvlJc w:val="left"/>
      <w:pPr>
        <w:ind w:left="1494" w:hanging="360"/>
      </w:pPr>
      <w:rPr>
        <w:rFonts w:ascii="Verdana" w:eastAsiaTheme="minorHAnsi" w:hAnsi="Verdana" w:cstheme="minorBidi"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6" w15:restartNumberingAfterBreak="0">
    <w:nsid w:val="73B23CD7"/>
    <w:multiLevelType w:val="hybridMultilevel"/>
    <w:tmpl w:val="9438B4F8"/>
    <w:lvl w:ilvl="0" w:tplc="1A44F7C0">
      <w:start w:val="1"/>
      <w:numFmt w:val="bullet"/>
      <w:lvlText w:val="•"/>
      <w:lvlJc w:val="left"/>
      <w:pPr>
        <w:tabs>
          <w:tab w:val="num" w:pos="720"/>
        </w:tabs>
        <w:ind w:left="720" w:hanging="360"/>
      </w:pPr>
      <w:rPr>
        <w:rFonts w:ascii="Arial" w:hAnsi="Arial" w:hint="default"/>
      </w:rPr>
    </w:lvl>
    <w:lvl w:ilvl="1" w:tplc="46CA162A" w:tentative="1">
      <w:start w:val="1"/>
      <w:numFmt w:val="bullet"/>
      <w:lvlText w:val="•"/>
      <w:lvlJc w:val="left"/>
      <w:pPr>
        <w:tabs>
          <w:tab w:val="num" w:pos="1440"/>
        </w:tabs>
        <w:ind w:left="1440" w:hanging="360"/>
      </w:pPr>
      <w:rPr>
        <w:rFonts w:ascii="Arial" w:hAnsi="Arial" w:hint="default"/>
      </w:rPr>
    </w:lvl>
    <w:lvl w:ilvl="2" w:tplc="C21EAD1A" w:tentative="1">
      <w:start w:val="1"/>
      <w:numFmt w:val="bullet"/>
      <w:lvlText w:val="•"/>
      <w:lvlJc w:val="left"/>
      <w:pPr>
        <w:tabs>
          <w:tab w:val="num" w:pos="2160"/>
        </w:tabs>
        <w:ind w:left="2160" w:hanging="360"/>
      </w:pPr>
      <w:rPr>
        <w:rFonts w:ascii="Arial" w:hAnsi="Arial" w:hint="default"/>
      </w:rPr>
    </w:lvl>
    <w:lvl w:ilvl="3" w:tplc="5610F6F6" w:tentative="1">
      <w:start w:val="1"/>
      <w:numFmt w:val="bullet"/>
      <w:lvlText w:val="•"/>
      <w:lvlJc w:val="left"/>
      <w:pPr>
        <w:tabs>
          <w:tab w:val="num" w:pos="2880"/>
        </w:tabs>
        <w:ind w:left="2880" w:hanging="360"/>
      </w:pPr>
      <w:rPr>
        <w:rFonts w:ascii="Arial" w:hAnsi="Arial" w:hint="default"/>
      </w:rPr>
    </w:lvl>
    <w:lvl w:ilvl="4" w:tplc="07E436FE" w:tentative="1">
      <w:start w:val="1"/>
      <w:numFmt w:val="bullet"/>
      <w:lvlText w:val="•"/>
      <w:lvlJc w:val="left"/>
      <w:pPr>
        <w:tabs>
          <w:tab w:val="num" w:pos="3600"/>
        </w:tabs>
        <w:ind w:left="3600" w:hanging="360"/>
      </w:pPr>
      <w:rPr>
        <w:rFonts w:ascii="Arial" w:hAnsi="Arial" w:hint="default"/>
      </w:rPr>
    </w:lvl>
    <w:lvl w:ilvl="5" w:tplc="F67A436C" w:tentative="1">
      <w:start w:val="1"/>
      <w:numFmt w:val="bullet"/>
      <w:lvlText w:val="•"/>
      <w:lvlJc w:val="left"/>
      <w:pPr>
        <w:tabs>
          <w:tab w:val="num" w:pos="4320"/>
        </w:tabs>
        <w:ind w:left="4320" w:hanging="360"/>
      </w:pPr>
      <w:rPr>
        <w:rFonts w:ascii="Arial" w:hAnsi="Arial" w:hint="default"/>
      </w:rPr>
    </w:lvl>
    <w:lvl w:ilvl="6" w:tplc="D28E0836" w:tentative="1">
      <w:start w:val="1"/>
      <w:numFmt w:val="bullet"/>
      <w:lvlText w:val="•"/>
      <w:lvlJc w:val="left"/>
      <w:pPr>
        <w:tabs>
          <w:tab w:val="num" w:pos="5040"/>
        </w:tabs>
        <w:ind w:left="5040" w:hanging="360"/>
      </w:pPr>
      <w:rPr>
        <w:rFonts w:ascii="Arial" w:hAnsi="Arial" w:hint="default"/>
      </w:rPr>
    </w:lvl>
    <w:lvl w:ilvl="7" w:tplc="4394EF16" w:tentative="1">
      <w:start w:val="1"/>
      <w:numFmt w:val="bullet"/>
      <w:lvlText w:val="•"/>
      <w:lvlJc w:val="left"/>
      <w:pPr>
        <w:tabs>
          <w:tab w:val="num" w:pos="5760"/>
        </w:tabs>
        <w:ind w:left="5760" w:hanging="360"/>
      </w:pPr>
      <w:rPr>
        <w:rFonts w:ascii="Arial" w:hAnsi="Arial" w:hint="default"/>
      </w:rPr>
    </w:lvl>
    <w:lvl w:ilvl="8" w:tplc="A386EEC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CC20366"/>
    <w:multiLevelType w:val="hybridMultilevel"/>
    <w:tmpl w:val="22D216BA"/>
    <w:lvl w:ilvl="0" w:tplc="556C7116">
      <w:start w:val="1"/>
      <w:numFmt w:val="decimal"/>
      <w:lvlText w:val="%1."/>
      <w:lvlJc w:val="left"/>
      <w:pPr>
        <w:tabs>
          <w:tab w:val="num" w:pos="720"/>
        </w:tabs>
        <w:ind w:left="720" w:hanging="360"/>
      </w:pPr>
    </w:lvl>
    <w:lvl w:ilvl="1" w:tplc="FC5E68B8" w:tentative="1">
      <w:start w:val="1"/>
      <w:numFmt w:val="decimal"/>
      <w:lvlText w:val="%2."/>
      <w:lvlJc w:val="left"/>
      <w:pPr>
        <w:tabs>
          <w:tab w:val="num" w:pos="1440"/>
        </w:tabs>
        <w:ind w:left="1440" w:hanging="360"/>
      </w:pPr>
    </w:lvl>
    <w:lvl w:ilvl="2" w:tplc="F9C46C1E" w:tentative="1">
      <w:start w:val="1"/>
      <w:numFmt w:val="decimal"/>
      <w:lvlText w:val="%3."/>
      <w:lvlJc w:val="left"/>
      <w:pPr>
        <w:tabs>
          <w:tab w:val="num" w:pos="2160"/>
        </w:tabs>
        <w:ind w:left="2160" w:hanging="360"/>
      </w:pPr>
    </w:lvl>
    <w:lvl w:ilvl="3" w:tplc="29422652" w:tentative="1">
      <w:start w:val="1"/>
      <w:numFmt w:val="decimal"/>
      <w:lvlText w:val="%4."/>
      <w:lvlJc w:val="left"/>
      <w:pPr>
        <w:tabs>
          <w:tab w:val="num" w:pos="2880"/>
        </w:tabs>
        <w:ind w:left="2880" w:hanging="360"/>
      </w:pPr>
    </w:lvl>
    <w:lvl w:ilvl="4" w:tplc="67CEA4CA" w:tentative="1">
      <w:start w:val="1"/>
      <w:numFmt w:val="decimal"/>
      <w:lvlText w:val="%5."/>
      <w:lvlJc w:val="left"/>
      <w:pPr>
        <w:tabs>
          <w:tab w:val="num" w:pos="3600"/>
        </w:tabs>
        <w:ind w:left="3600" w:hanging="360"/>
      </w:pPr>
    </w:lvl>
    <w:lvl w:ilvl="5" w:tplc="5518CEA8" w:tentative="1">
      <w:start w:val="1"/>
      <w:numFmt w:val="decimal"/>
      <w:lvlText w:val="%6."/>
      <w:lvlJc w:val="left"/>
      <w:pPr>
        <w:tabs>
          <w:tab w:val="num" w:pos="4320"/>
        </w:tabs>
        <w:ind w:left="4320" w:hanging="360"/>
      </w:pPr>
    </w:lvl>
    <w:lvl w:ilvl="6" w:tplc="9CECB218" w:tentative="1">
      <w:start w:val="1"/>
      <w:numFmt w:val="decimal"/>
      <w:lvlText w:val="%7."/>
      <w:lvlJc w:val="left"/>
      <w:pPr>
        <w:tabs>
          <w:tab w:val="num" w:pos="5040"/>
        </w:tabs>
        <w:ind w:left="5040" w:hanging="360"/>
      </w:pPr>
    </w:lvl>
    <w:lvl w:ilvl="7" w:tplc="F7BA4006" w:tentative="1">
      <w:start w:val="1"/>
      <w:numFmt w:val="decimal"/>
      <w:lvlText w:val="%8."/>
      <w:lvlJc w:val="left"/>
      <w:pPr>
        <w:tabs>
          <w:tab w:val="num" w:pos="5760"/>
        </w:tabs>
        <w:ind w:left="5760" w:hanging="360"/>
      </w:pPr>
    </w:lvl>
    <w:lvl w:ilvl="8" w:tplc="85B4DC30" w:tentative="1">
      <w:start w:val="1"/>
      <w:numFmt w:val="decimal"/>
      <w:lvlText w:val="%9."/>
      <w:lvlJc w:val="left"/>
      <w:pPr>
        <w:tabs>
          <w:tab w:val="num" w:pos="6480"/>
        </w:tabs>
        <w:ind w:left="6480" w:hanging="360"/>
      </w:pPr>
    </w:lvl>
  </w:abstractNum>
  <w:abstractNum w:abstractNumId="38" w15:restartNumberingAfterBreak="0">
    <w:nsid w:val="7D9C306E"/>
    <w:multiLevelType w:val="multilevel"/>
    <w:tmpl w:val="88BC2CB0"/>
    <w:lvl w:ilvl="0">
      <w:start w:val="1"/>
      <w:numFmt w:val="decimal"/>
      <w:lvlText w:val="%1"/>
      <w:lvlJc w:val="left"/>
      <w:pPr>
        <w:ind w:left="360" w:hanging="36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1149639102">
    <w:abstractNumId w:val="20"/>
  </w:num>
  <w:num w:numId="2" w16cid:durableId="784662544">
    <w:abstractNumId w:val="24"/>
  </w:num>
  <w:num w:numId="3" w16cid:durableId="1442451738">
    <w:abstractNumId w:val="24"/>
    <w:lvlOverride w:ilvl="0">
      <w:startOverride w:val="1"/>
    </w:lvlOverride>
  </w:num>
  <w:num w:numId="4" w16cid:durableId="1562522304">
    <w:abstractNumId w:val="24"/>
    <w:lvlOverride w:ilvl="0">
      <w:startOverride w:val="1"/>
    </w:lvlOverride>
  </w:num>
  <w:num w:numId="5" w16cid:durableId="1125929345">
    <w:abstractNumId w:val="24"/>
    <w:lvlOverride w:ilvl="0">
      <w:startOverride w:val="1"/>
    </w:lvlOverride>
  </w:num>
  <w:num w:numId="6" w16cid:durableId="641621793">
    <w:abstractNumId w:val="17"/>
  </w:num>
  <w:num w:numId="7" w16cid:durableId="2117015349">
    <w:abstractNumId w:val="35"/>
  </w:num>
  <w:num w:numId="8" w16cid:durableId="116532335">
    <w:abstractNumId w:val="32"/>
  </w:num>
  <w:num w:numId="9" w16cid:durableId="1421415807">
    <w:abstractNumId w:val="6"/>
  </w:num>
  <w:num w:numId="10" w16cid:durableId="2003315320">
    <w:abstractNumId w:val="33"/>
  </w:num>
  <w:num w:numId="11" w16cid:durableId="2067218763">
    <w:abstractNumId w:val="26"/>
  </w:num>
  <w:num w:numId="12" w16cid:durableId="904876633">
    <w:abstractNumId w:val="24"/>
  </w:num>
  <w:num w:numId="13" w16cid:durableId="1343893413">
    <w:abstractNumId w:val="21"/>
  </w:num>
  <w:num w:numId="14" w16cid:durableId="702025889">
    <w:abstractNumId w:val="7"/>
  </w:num>
  <w:num w:numId="15" w16cid:durableId="680931896">
    <w:abstractNumId w:val="27"/>
  </w:num>
  <w:num w:numId="16" w16cid:durableId="258954835">
    <w:abstractNumId w:val="24"/>
  </w:num>
  <w:num w:numId="17" w16cid:durableId="1485899055">
    <w:abstractNumId w:val="29"/>
  </w:num>
  <w:num w:numId="18" w16cid:durableId="482164427">
    <w:abstractNumId w:val="30"/>
  </w:num>
  <w:num w:numId="19" w16cid:durableId="297952872">
    <w:abstractNumId w:val="5"/>
  </w:num>
  <w:num w:numId="20" w16cid:durableId="962690017">
    <w:abstractNumId w:val="20"/>
  </w:num>
  <w:num w:numId="21" w16cid:durableId="1188789226">
    <w:abstractNumId w:val="2"/>
  </w:num>
  <w:num w:numId="22" w16cid:durableId="105662066">
    <w:abstractNumId w:val="3"/>
  </w:num>
  <w:num w:numId="23" w16cid:durableId="1449398806">
    <w:abstractNumId w:val="20"/>
  </w:num>
  <w:num w:numId="24" w16cid:durableId="401370051">
    <w:abstractNumId w:val="20"/>
  </w:num>
  <w:num w:numId="25" w16cid:durableId="1536232958">
    <w:abstractNumId w:val="20"/>
  </w:num>
  <w:num w:numId="26" w16cid:durableId="148865021">
    <w:abstractNumId w:val="23"/>
  </w:num>
  <w:num w:numId="27" w16cid:durableId="431243392">
    <w:abstractNumId w:val="20"/>
  </w:num>
  <w:num w:numId="28" w16cid:durableId="502547188">
    <w:abstractNumId w:val="25"/>
  </w:num>
  <w:num w:numId="29" w16cid:durableId="1474830782">
    <w:abstractNumId w:val="36"/>
  </w:num>
  <w:num w:numId="30" w16cid:durableId="1552108799">
    <w:abstractNumId w:val="37"/>
  </w:num>
  <w:num w:numId="31" w16cid:durableId="925114773">
    <w:abstractNumId w:val="14"/>
  </w:num>
  <w:num w:numId="32" w16cid:durableId="954873016">
    <w:abstractNumId w:val="19"/>
  </w:num>
  <w:num w:numId="33" w16cid:durableId="1371413064">
    <w:abstractNumId w:val="9"/>
  </w:num>
  <w:num w:numId="34" w16cid:durableId="23218645">
    <w:abstractNumId w:val="12"/>
  </w:num>
  <w:num w:numId="35" w16cid:durableId="782698966">
    <w:abstractNumId w:val="31"/>
  </w:num>
  <w:num w:numId="36" w16cid:durableId="1337465879">
    <w:abstractNumId w:val="28"/>
  </w:num>
  <w:num w:numId="37" w16cid:durableId="108790969">
    <w:abstractNumId w:val="22"/>
  </w:num>
  <w:num w:numId="38" w16cid:durableId="1701970783">
    <w:abstractNumId w:val="10"/>
  </w:num>
  <w:num w:numId="39" w16cid:durableId="1434089876">
    <w:abstractNumId w:val="34"/>
  </w:num>
  <w:num w:numId="40" w16cid:durableId="2105029833">
    <w:abstractNumId w:val="1"/>
  </w:num>
  <w:num w:numId="41" w16cid:durableId="916475385">
    <w:abstractNumId w:val="8"/>
  </w:num>
  <w:num w:numId="42" w16cid:durableId="371150274">
    <w:abstractNumId w:val="18"/>
  </w:num>
  <w:num w:numId="43" w16cid:durableId="1942302033">
    <w:abstractNumId w:val="11"/>
  </w:num>
  <w:num w:numId="44" w16cid:durableId="1930888271">
    <w:abstractNumId w:val="13"/>
  </w:num>
  <w:num w:numId="45" w16cid:durableId="2079589478">
    <w:abstractNumId w:val="38"/>
  </w:num>
  <w:num w:numId="46" w16cid:durableId="122382734">
    <w:abstractNumId w:val="4"/>
  </w:num>
  <w:num w:numId="47" w16cid:durableId="1363823985">
    <w:abstractNumId w:val="15"/>
  </w:num>
  <w:num w:numId="48" w16cid:durableId="982270046">
    <w:abstractNumId w:val="0"/>
  </w:num>
  <w:num w:numId="49" w16cid:durableId="7575964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D79"/>
    <w:rsid w:val="000003F7"/>
    <w:rsid w:val="0000193F"/>
    <w:rsid w:val="00010F6B"/>
    <w:rsid w:val="000141E7"/>
    <w:rsid w:val="00024902"/>
    <w:rsid w:val="000328A2"/>
    <w:rsid w:val="00032D2F"/>
    <w:rsid w:val="000414C1"/>
    <w:rsid w:val="00044D42"/>
    <w:rsid w:val="00051C7E"/>
    <w:rsid w:val="000536F6"/>
    <w:rsid w:val="000647D5"/>
    <w:rsid w:val="0009128D"/>
    <w:rsid w:val="000B249E"/>
    <w:rsid w:val="000B33B5"/>
    <w:rsid w:val="000B3729"/>
    <w:rsid w:val="000C69E5"/>
    <w:rsid w:val="000C73D3"/>
    <w:rsid w:val="000D443A"/>
    <w:rsid w:val="000D643F"/>
    <w:rsid w:val="000E7E86"/>
    <w:rsid w:val="000F520D"/>
    <w:rsid w:val="001036A0"/>
    <w:rsid w:val="00115C21"/>
    <w:rsid w:val="00117092"/>
    <w:rsid w:val="0012425F"/>
    <w:rsid w:val="00147D40"/>
    <w:rsid w:val="0015714A"/>
    <w:rsid w:val="00164B77"/>
    <w:rsid w:val="00175BF3"/>
    <w:rsid w:val="0018209E"/>
    <w:rsid w:val="001846DC"/>
    <w:rsid w:val="00186BE9"/>
    <w:rsid w:val="0019013F"/>
    <w:rsid w:val="00193A69"/>
    <w:rsid w:val="001A4705"/>
    <w:rsid w:val="001A7911"/>
    <w:rsid w:val="001B0BDD"/>
    <w:rsid w:val="001B6FEC"/>
    <w:rsid w:val="001E186F"/>
    <w:rsid w:val="001E4EBF"/>
    <w:rsid w:val="001F5C55"/>
    <w:rsid w:val="001F603E"/>
    <w:rsid w:val="002033A1"/>
    <w:rsid w:val="002070BE"/>
    <w:rsid w:val="002078C6"/>
    <w:rsid w:val="00210D54"/>
    <w:rsid w:val="00224669"/>
    <w:rsid w:val="00226E52"/>
    <w:rsid w:val="00231EAF"/>
    <w:rsid w:val="00236D79"/>
    <w:rsid w:val="00242E09"/>
    <w:rsid w:val="00242E9A"/>
    <w:rsid w:val="00243F5F"/>
    <w:rsid w:val="00243F68"/>
    <w:rsid w:val="00245E86"/>
    <w:rsid w:val="00253226"/>
    <w:rsid w:val="002535CA"/>
    <w:rsid w:val="002541E5"/>
    <w:rsid w:val="00260349"/>
    <w:rsid w:val="00261F28"/>
    <w:rsid w:val="002749C0"/>
    <w:rsid w:val="0028112D"/>
    <w:rsid w:val="00282C92"/>
    <w:rsid w:val="0028696F"/>
    <w:rsid w:val="0029071D"/>
    <w:rsid w:val="00293FB6"/>
    <w:rsid w:val="002A0005"/>
    <w:rsid w:val="002A78D0"/>
    <w:rsid w:val="002B533B"/>
    <w:rsid w:val="002B5500"/>
    <w:rsid w:val="002C1325"/>
    <w:rsid w:val="002C1F51"/>
    <w:rsid w:val="002E1BC7"/>
    <w:rsid w:val="002E309C"/>
    <w:rsid w:val="002E357B"/>
    <w:rsid w:val="002E7D8B"/>
    <w:rsid w:val="002F0AA6"/>
    <w:rsid w:val="0030087B"/>
    <w:rsid w:val="00313B75"/>
    <w:rsid w:val="00315AA0"/>
    <w:rsid w:val="00321E47"/>
    <w:rsid w:val="00322463"/>
    <w:rsid w:val="00326B31"/>
    <w:rsid w:val="0034035B"/>
    <w:rsid w:val="003406C7"/>
    <w:rsid w:val="00341CA7"/>
    <w:rsid w:val="00355186"/>
    <w:rsid w:val="00360FA8"/>
    <w:rsid w:val="00362A20"/>
    <w:rsid w:val="00374FD6"/>
    <w:rsid w:val="00375C1B"/>
    <w:rsid w:val="003769DB"/>
    <w:rsid w:val="00381862"/>
    <w:rsid w:val="003821D6"/>
    <w:rsid w:val="00382754"/>
    <w:rsid w:val="00390F9A"/>
    <w:rsid w:val="00396DB9"/>
    <w:rsid w:val="003A58AB"/>
    <w:rsid w:val="003B234F"/>
    <w:rsid w:val="003B6560"/>
    <w:rsid w:val="003B6B7D"/>
    <w:rsid w:val="003C3B0A"/>
    <w:rsid w:val="003C403A"/>
    <w:rsid w:val="003C7E98"/>
    <w:rsid w:val="003D0704"/>
    <w:rsid w:val="003D3317"/>
    <w:rsid w:val="003D5368"/>
    <w:rsid w:val="003D65E7"/>
    <w:rsid w:val="003E38E3"/>
    <w:rsid w:val="003E5497"/>
    <w:rsid w:val="00406EA3"/>
    <w:rsid w:val="004122E0"/>
    <w:rsid w:val="00414084"/>
    <w:rsid w:val="00414235"/>
    <w:rsid w:val="00414E11"/>
    <w:rsid w:val="00426E37"/>
    <w:rsid w:val="0043062E"/>
    <w:rsid w:val="00432F00"/>
    <w:rsid w:val="00445590"/>
    <w:rsid w:val="004459CB"/>
    <w:rsid w:val="0045192E"/>
    <w:rsid w:val="00460A41"/>
    <w:rsid w:val="00465406"/>
    <w:rsid w:val="0046701D"/>
    <w:rsid w:val="004678C0"/>
    <w:rsid w:val="00472281"/>
    <w:rsid w:val="004767E6"/>
    <w:rsid w:val="00485DF5"/>
    <w:rsid w:val="0049068C"/>
    <w:rsid w:val="00491D79"/>
    <w:rsid w:val="00491E4E"/>
    <w:rsid w:val="004B0B5A"/>
    <w:rsid w:val="004B30C4"/>
    <w:rsid w:val="004B6D06"/>
    <w:rsid w:val="004C6441"/>
    <w:rsid w:val="004D06AF"/>
    <w:rsid w:val="004D6F59"/>
    <w:rsid w:val="004F414C"/>
    <w:rsid w:val="004F697D"/>
    <w:rsid w:val="00501469"/>
    <w:rsid w:val="00507391"/>
    <w:rsid w:val="00517D57"/>
    <w:rsid w:val="005201A3"/>
    <w:rsid w:val="005202C7"/>
    <w:rsid w:val="00545D51"/>
    <w:rsid w:val="005552B0"/>
    <w:rsid w:val="0056104B"/>
    <w:rsid w:val="00561542"/>
    <w:rsid w:val="00571BDC"/>
    <w:rsid w:val="00572828"/>
    <w:rsid w:val="00574A51"/>
    <w:rsid w:val="005920E1"/>
    <w:rsid w:val="005A4858"/>
    <w:rsid w:val="005A6F23"/>
    <w:rsid w:val="005A7333"/>
    <w:rsid w:val="005B1DFD"/>
    <w:rsid w:val="005B3D30"/>
    <w:rsid w:val="005B4EF9"/>
    <w:rsid w:val="005C223D"/>
    <w:rsid w:val="005C74DA"/>
    <w:rsid w:val="005D2B84"/>
    <w:rsid w:val="005D3E5E"/>
    <w:rsid w:val="005D6E9D"/>
    <w:rsid w:val="005F06FD"/>
    <w:rsid w:val="005F5BC8"/>
    <w:rsid w:val="00602038"/>
    <w:rsid w:val="006026FF"/>
    <w:rsid w:val="006046F0"/>
    <w:rsid w:val="00616FF4"/>
    <w:rsid w:val="006211DC"/>
    <w:rsid w:val="00621EBC"/>
    <w:rsid w:val="0062754B"/>
    <w:rsid w:val="0065148D"/>
    <w:rsid w:val="00651BD8"/>
    <w:rsid w:val="00655AED"/>
    <w:rsid w:val="00664683"/>
    <w:rsid w:val="00672B15"/>
    <w:rsid w:val="0067579C"/>
    <w:rsid w:val="00685F93"/>
    <w:rsid w:val="00694AAD"/>
    <w:rsid w:val="00696F9E"/>
    <w:rsid w:val="006A173E"/>
    <w:rsid w:val="006B1418"/>
    <w:rsid w:val="006B3861"/>
    <w:rsid w:val="006B6FE8"/>
    <w:rsid w:val="006C35D7"/>
    <w:rsid w:val="006D4C12"/>
    <w:rsid w:val="006E171D"/>
    <w:rsid w:val="006E5730"/>
    <w:rsid w:val="006F7525"/>
    <w:rsid w:val="00710296"/>
    <w:rsid w:val="00723382"/>
    <w:rsid w:val="00723AC6"/>
    <w:rsid w:val="00741836"/>
    <w:rsid w:val="00746262"/>
    <w:rsid w:val="0075354A"/>
    <w:rsid w:val="00754150"/>
    <w:rsid w:val="00756D4E"/>
    <w:rsid w:val="0077187C"/>
    <w:rsid w:val="00771CBA"/>
    <w:rsid w:val="00774485"/>
    <w:rsid w:val="00776A9A"/>
    <w:rsid w:val="0078435A"/>
    <w:rsid w:val="00787910"/>
    <w:rsid w:val="007A0FC3"/>
    <w:rsid w:val="007A2B8F"/>
    <w:rsid w:val="007B0021"/>
    <w:rsid w:val="007B04BE"/>
    <w:rsid w:val="007C1BD9"/>
    <w:rsid w:val="007C50E3"/>
    <w:rsid w:val="007D6DCE"/>
    <w:rsid w:val="007E0370"/>
    <w:rsid w:val="007E59A2"/>
    <w:rsid w:val="007E6FCD"/>
    <w:rsid w:val="00801F0E"/>
    <w:rsid w:val="00804452"/>
    <w:rsid w:val="00817CE4"/>
    <w:rsid w:val="00820C77"/>
    <w:rsid w:val="00820E02"/>
    <w:rsid w:val="00827558"/>
    <w:rsid w:val="00836316"/>
    <w:rsid w:val="008407EC"/>
    <w:rsid w:val="0084316E"/>
    <w:rsid w:val="008438FF"/>
    <w:rsid w:val="008514EC"/>
    <w:rsid w:val="00857A0A"/>
    <w:rsid w:val="00862E61"/>
    <w:rsid w:val="00864988"/>
    <w:rsid w:val="00865233"/>
    <w:rsid w:val="00877D9B"/>
    <w:rsid w:val="00891569"/>
    <w:rsid w:val="008922D8"/>
    <w:rsid w:val="00894AF5"/>
    <w:rsid w:val="008B1442"/>
    <w:rsid w:val="008B253E"/>
    <w:rsid w:val="008B6033"/>
    <w:rsid w:val="008B74F6"/>
    <w:rsid w:val="008C0899"/>
    <w:rsid w:val="008D70A3"/>
    <w:rsid w:val="008E2DD7"/>
    <w:rsid w:val="008F4FD7"/>
    <w:rsid w:val="00904581"/>
    <w:rsid w:val="00921435"/>
    <w:rsid w:val="00922CEA"/>
    <w:rsid w:val="009259CC"/>
    <w:rsid w:val="0092648B"/>
    <w:rsid w:val="00926D5A"/>
    <w:rsid w:val="00927A09"/>
    <w:rsid w:val="009377BD"/>
    <w:rsid w:val="00943D13"/>
    <w:rsid w:val="0094463A"/>
    <w:rsid w:val="00945D44"/>
    <w:rsid w:val="00951286"/>
    <w:rsid w:val="009523D2"/>
    <w:rsid w:val="009549A0"/>
    <w:rsid w:val="0096640D"/>
    <w:rsid w:val="00972855"/>
    <w:rsid w:val="00974A61"/>
    <w:rsid w:val="00974B46"/>
    <w:rsid w:val="009835D6"/>
    <w:rsid w:val="0098379B"/>
    <w:rsid w:val="009873AB"/>
    <w:rsid w:val="00992BC2"/>
    <w:rsid w:val="009968BC"/>
    <w:rsid w:val="00996B27"/>
    <w:rsid w:val="009B03B6"/>
    <w:rsid w:val="009B2861"/>
    <w:rsid w:val="009C1703"/>
    <w:rsid w:val="009C5F57"/>
    <w:rsid w:val="009D6B24"/>
    <w:rsid w:val="009D70B3"/>
    <w:rsid w:val="009D7411"/>
    <w:rsid w:val="009E1D4B"/>
    <w:rsid w:val="009E5911"/>
    <w:rsid w:val="009E6DB3"/>
    <w:rsid w:val="009F4089"/>
    <w:rsid w:val="00A00806"/>
    <w:rsid w:val="00A01C07"/>
    <w:rsid w:val="00A0548E"/>
    <w:rsid w:val="00A107CD"/>
    <w:rsid w:val="00A21525"/>
    <w:rsid w:val="00A2389C"/>
    <w:rsid w:val="00A262BE"/>
    <w:rsid w:val="00A26D63"/>
    <w:rsid w:val="00A3570F"/>
    <w:rsid w:val="00A440AE"/>
    <w:rsid w:val="00A44B30"/>
    <w:rsid w:val="00A46D3B"/>
    <w:rsid w:val="00A57431"/>
    <w:rsid w:val="00A745A0"/>
    <w:rsid w:val="00A80680"/>
    <w:rsid w:val="00AA7C59"/>
    <w:rsid w:val="00AC0F96"/>
    <w:rsid w:val="00AC2AD4"/>
    <w:rsid w:val="00AC40CD"/>
    <w:rsid w:val="00AD0E76"/>
    <w:rsid w:val="00AD6966"/>
    <w:rsid w:val="00AD6A63"/>
    <w:rsid w:val="00AE36A8"/>
    <w:rsid w:val="00AE3D08"/>
    <w:rsid w:val="00AF6A0C"/>
    <w:rsid w:val="00B37356"/>
    <w:rsid w:val="00B4331E"/>
    <w:rsid w:val="00B54801"/>
    <w:rsid w:val="00B556F8"/>
    <w:rsid w:val="00B55852"/>
    <w:rsid w:val="00B56D29"/>
    <w:rsid w:val="00B61E88"/>
    <w:rsid w:val="00B738D0"/>
    <w:rsid w:val="00B760C3"/>
    <w:rsid w:val="00B807B6"/>
    <w:rsid w:val="00B9113E"/>
    <w:rsid w:val="00B95227"/>
    <w:rsid w:val="00B96CEF"/>
    <w:rsid w:val="00BA2D81"/>
    <w:rsid w:val="00BA48E9"/>
    <w:rsid w:val="00BA50E4"/>
    <w:rsid w:val="00BB3854"/>
    <w:rsid w:val="00BB7276"/>
    <w:rsid w:val="00BC274D"/>
    <w:rsid w:val="00BC5C77"/>
    <w:rsid w:val="00BC698B"/>
    <w:rsid w:val="00BD61CB"/>
    <w:rsid w:val="00BE03B9"/>
    <w:rsid w:val="00BE1C64"/>
    <w:rsid w:val="00BF1146"/>
    <w:rsid w:val="00BF592E"/>
    <w:rsid w:val="00C06C20"/>
    <w:rsid w:val="00C16E19"/>
    <w:rsid w:val="00C26254"/>
    <w:rsid w:val="00C279D9"/>
    <w:rsid w:val="00C27BF9"/>
    <w:rsid w:val="00C3141D"/>
    <w:rsid w:val="00C32AF4"/>
    <w:rsid w:val="00C44557"/>
    <w:rsid w:val="00C451FF"/>
    <w:rsid w:val="00C455DA"/>
    <w:rsid w:val="00C51483"/>
    <w:rsid w:val="00C558A0"/>
    <w:rsid w:val="00C67DA1"/>
    <w:rsid w:val="00C87DC5"/>
    <w:rsid w:val="00CA7B77"/>
    <w:rsid w:val="00CB2866"/>
    <w:rsid w:val="00CC0C71"/>
    <w:rsid w:val="00CC48A9"/>
    <w:rsid w:val="00CD0CE5"/>
    <w:rsid w:val="00CD1BE3"/>
    <w:rsid w:val="00CE7281"/>
    <w:rsid w:val="00CF4F9D"/>
    <w:rsid w:val="00CF6D8A"/>
    <w:rsid w:val="00CF79F9"/>
    <w:rsid w:val="00D042E8"/>
    <w:rsid w:val="00D0505B"/>
    <w:rsid w:val="00D26B05"/>
    <w:rsid w:val="00D275E4"/>
    <w:rsid w:val="00D4102D"/>
    <w:rsid w:val="00D550FD"/>
    <w:rsid w:val="00D76AE4"/>
    <w:rsid w:val="00D776FE"/>
    <w:rsid w:val="00D83142"/>
    <w:rsid w:val="00D846D2"/>
    <w:rsid w:val="00D871C3"/>
    <w:rsid w:val="00D93830"/>
    <w:rsid w:val="00DA3591"/>
    <w:rsid w:val="00DA49C6"/>
    <w:rsid w:val="00DA614F"/>
    <w:rsid w:val="00DA6999"/>
    <w:rsid w:val="00DB21A7"/>
    <w:rsid w:val="00DB412F"/>
    <w:rsid w:val="00DC107D"/>
    <w:rsid w:val="00DC23E6"/>
    <w:rsid w:val="00DC67BB"/>
    <w:rsid w:val="00DE31B4"/>
    <w:rsid w:val="00DF3C47"/>
    <w:rsid w:val="00E05FDC"/>
    <w:rsid w:val="00E07DBB"/>
    <w:rsid w:val="00E24D12"/>
    <w:rsid w:val="00E26422"/>
    <w:rsid w:val="00E279FE"/>
    <w:rsid w:val="00E46A8E"/>
    <w:rsid w:val="00E47A18"/>
    <w:rsid w:val="00E7204E"/>
    <w:rsid w:val="00E72628"/>
    <w:rsid w:val="00E77B5F"/>
    <w:rsid w:val="00E85A03"/>
    <w:rsid w:val="00E902C6"/>
    <w:rsid w:val="00EA1881"/>
    <w:rsid w:val="00EA4240"/>
    <w:rsid w:val="00EB5FBA"/>
    <w:rsid w:val="00EB676B"/>
    <w:rsid w:val="00EC306F"/>
    <w:rsid w:val="00EC5FFD"/>
    <w:rsid w:val="00ED0902"/>
    <w:rsid w:val="00EE05FC"/>
    <w:rsid w:val="00EE3FE4"/>
    <w:rsid w:val="00EE4027"/>
    <w:rsid w:val="00EE4221"/>
    <w:rsid w:val="00EF7085"/>
    <w:rsid w:val="00F007D8"/>
    <w:rsid w:val="00F23FEC"/>
    <w:rsid w:val="00F32266"/>
    <w:rsid w:val="00F35B10"/>
    <w:rsid w:val="00F427E4"/>
    <w:rsid w:val="00F440F8"/>
    <w:rsid w:val="00F45A2B"/>
    <w:rsid w:val="00F51340"/>
    <w:rsid w:val="00F51520"/>
    <w:rsid w:val="00F576F2"/>
    <w:rsid w:val="00F57F70"/>
    <w:rsid w:val="00F61FFB"/>
    <w:rsid w:val="00F67BBB"/>
    <w:rsid w:val="00F70476"/>
    <w:rsid w:val="00F75B07"/>
    <w:rsid w:val="00F82836"/>
    <w:rsid w:val="00F85A20"/>
    <w:rsid w:val="00FA4A88"/>
    <w:rsid w:val="00FB606A"/>
    <w:rsid w:val="00FC1ABB"/>
    <w:rsid w:val="00FC500B"/>
    <w:rsid w:val="00FD44B1"/>
    <w:rsid w:val="00FD48C2"/>
    <w:rsid w:val="00FD6F93"/>
    <w:rsid w:val="00FE22CA"/>
    <w:rsid w:val="00FE2458"/>
    <w:rsid w:val="00FE6D7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AD6100"/>
  <w15:docId w15:val="{430D3C09-B51D-4FA3-A7E5-58780FB24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BD9"/>
    <w:pPr>
      <w:spacing w:before="200" w:after="200" w:line="300" w:lineRule="exact"/>
    </w:pPr>
    <w:rPr>
      <w:rFonts w:ascii="Verdana" w:hAnsi="Verdana"/>
      <w:color w:val="000000" w:themeColor="text1"/>
      <w:sz w:val="20"/>
      <w:szCs w:val="20"/>
    </w:rPr>
  </w:style>
  <w:style w:type="paragraph" w:styleId="Heading1">
    <w:name w:val="heading 1"/>
    <w:basedOn w:val="CoverPageHeader"/>
    <w:next w:val="Normal"/>
    <w:link w:val="Heading1Char"/>
    <w:uiPriority w:val="9"/>
    <w:qFormat/>
    <w:rsid w:val="00AD6A63"/>
    <w:pPr>
      <w:outlineLvl w:val="0"/>
    </w:pPr>
    <w:rPr>
      <w:rFonts w:eastAsia="SimSun" w:cs="Times New Roman"/>
      <w:b w:val="0"/>
      <w:color w:val="2E1A47"/>
      <w:sz w:val="44"/>
      <w:szCs w:val="44"/>
      <w:lang w:eastAsia="zh-CN"/>
    </w:rPr>
  </w:style>
  <w:style w:type="paragraph" w:styleId="Heading2">
    <w:name w:val="heading 2"/>
    <w:basedOn w:val="Normal"/>
    <w:next w:val="Normal"/>
    <w:link w:val="Heading2Char"/>
    <w:uiPriority w:val="9"/>
    <w:unhideWhenUsed/>
    <w:qFormat/>
    <w:rsid w:val="00243F5F"/>
    <w:pPr>
      <w:keepNext/>
      <w:keepLines/>
      <w:spacing w:before="360" w:after="160" w:line="252" w:lineRule="auto"/>
      <w:outlineLvl w:val="1"/>
    </w:pPr>
    <w:rPr>
      <w:rFonts w:eastAsia="SimSun" w:cs="Times New Roman"/>
      <w:bCs/>
      <w:color w:val="441D4A" w:themeColor="accent1" w:themeShade="80"/>
      <w:sz w:val="32"/>
      <w:szCs w:val="26"/>
      <w:lang w:eastAsia="zh-CN"/>
    </w:rPr>
  </w:style>
  <w:style w:type="paragraph" w:styleId="Heading3">
    <w:name w:val="heading 3"/>
    <w:basedOn w:val="Title"/>
    <w:next w:val="Normal"/>
    <w:link w:val="Heading3Char"/>
    <w:uiPriority w:val="9"/>
    <w:unhideWhenUsed/>
    <w:qFormat/>
    <w:rsid w:val="00243F5F"/>
    <w:pPr>
      <w:outlineLvl w:val="2"/>
    </w:pPr>
    <w:rPr>
      <w:b w:val="0"/>
      <w:color w:val="300050" w:themeColor="text2"/>
      <w:sz w:val="28"/>
    </w:rPr>
  </w:style>
  <w:style w:type="paragraph" w:styleId="Heading4">
    <w:name w:val="heading 4"/>
    <w:basedOn w:val="Normal"/>
    <w:next w:val="Normal"/>
    <w:link w:val="Heading4Char"/>
    <w:uiPriority w:val="9"/>
    <w:unhideWhenUsed/>
    <w:qFormat/>
    <w:rsid w:val="002C1F51"/>
    <w:pPr>
      <w:outlineLvl w:val="3"/>
    </w:pPr>
    <w:rPr>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C3B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C3B0A"/>
    <w:rPr>
      <w:rFonts w:eastAsiaTheme="minorEastAsia"/>
      <w:lang w:val="en-US"/>
    </w:rPr>
  </w:style>
  <w:style w:type="paragraph" w:styleId="Header">
    <w:name w:val="header"/>
    <w:basedOn w:val="Normal"/>
    <w:link w:val="HeaderChar"/>
    <w:uiPriority w:val="99"/>
    <w:unhideWhenUsed/>
    <w:rsid w:val="003C3B0A"/>
    <w:pPr>
      <w:tabs>
        <w:tab w:val="center" w:pos="4513"/>
        <w:tab w:val="right" w:pos="9026"/>
      </w:tabs>
      <w:spacing w:after="0"/>
    </w:pPr>
  </w:style>
  <w:style w:type="character" w:customStyle="1" w:styleId="HeaderChar">
    <w:name w:val="Header Char"/>
    <w:basedOn w:val="DefaultParagraphFont"/>
    <w:link w:val="Header"/>
    <w:uiPriority w:val="99"/>
    <w:rsid w:val="003C3B0A"/>
  </w:style>
  <w:style w:type="paragraph" w:styleId="Footer">
    <w:name w:val="footer"/>
    <w:basedOn w:val="Normal"/>
    <w:link w:val="FooterChar"/>
    <w:uiPriority w:val="99"/>
    <w:unhideWhenUsed/>
    <w:rsid w:val="003C3B0A"/>
    <w:pPr>
      <w:tabs>
        <w:tab w:val="center" w:pos="4513"/>
        <w:tab w:val="right" w:pos="9026"/>
      </w:tabs>
      <w:spacing w:after="0"/>
    </w:pPr>
  </w:style>
  <w:style w:type="character" w:customStyle="1" w:styleId="FooterChar">
    <w:name w:val="Footer Char"/>
    <w:basedOn w:val="DefaultParagraphFont"/>
    <w:link w:val="Footer"/>
    <w:uiPriority w:val="99"/>
    <w:rsid w:val="003C3B0A"/>
  </w:style>
  <w:style w:type="character" w:customStyle="1" w:styleId="Heading1Char">
    <w:name w:val="Heading 1 Char"/>
    <w:basedOn w:val="DefaultParagraphFont"/>
    <w:link w:val="Heading1"/>
    <w:uiPriority w:val="9"/>
    <w:rsid w:val="00AD6A63"/>
    <w:rPr>
      <w:rFonts w:ascii="Verdana" w:eastAsia="SimSun" w:hAnsi="Verdana" w:cs="Times New Roman"/>
      <w:bCs/>
      <w:color w:val="2E1A47"/>
      <w:sz w:val="44"/>
      <w:szCs w:val="44"/>
      <w:lang w:eastAsia="zh-CN"/>
    </w:rPr>
  </w:style>
  <w:style w:type="character" w:styleId="Strong">
    <w:name w:val="Strong"/>
    <w:aliases w:val="IntroCopy"/>
    <w:uiPriority w:val="22"/>
    <w:rsid w:val="00571BDC"/>
    <w:rPr>
      <w:color w:val="893B94" w:themeColor="accent1"/>
      <w:sz w:val="32"/>
      <w:szCs w:val="32"/>
      <w:lang w:val="pt-PT"/>
    </w:rPr>
  </w:style>
  <w:style w:type="paragraph" w:styleId="Title">
    <w:name w:val="Title"/>
    <w:aliases w:val="SubHeader1"/>
    <w:basedOn w:val="Normal"/>
    <w:next w:val="Normal"/>
    <w:link w:val="TitleChar"/>
    <w:uiPriority w:val="10"/>
    <w:rsid w:val="00921435"/>
    <w:pPr>
      <w:spacing w:before="600" w:line="420" w:lineRule="exact"/>
    </w:pPr>
    <w:rPr>
      <w:b/>
      <w:bCs/>
      <w:sz w:val="32"/>
      <w:szCs w:val="32"/>
    </w:rPr>
  </w:style>
  <w:style w:type="character" w:customStyle="1" w:styleId="TitleChar">
    <w:name w:val="Title Char"/>
    <w:aliases w:val="SubHeader1 Char"/>
    <w:basedOn w:val="DefaultParagraphFont"/>
    <w:link w:val="Title"/>
    <w:uiPriority w:val="10"/>
    <w:rsid w:val="00921435"/>
    <w:rPr>
      <w:rFonts w:ascii="Verdana" w:hAnsi="Verdana"/>
      <w:b/>
      <w:bCs/>
      <w:color w:val="000000" w:themeColor="text1"/>
      <w:sz w:val="32"/>
      <w:szCs w:val="32"/>
    </w:rPr>
  </w:style>
  <w:style w:type="character" w:customStyle="1" w:styleId="Heading2Char">
    <w:name w:val="Heading 2 Char"/>
    <w:basedOn w:val="DefaultParagraphFont"/>
    <w:link w:val="Heading2"/>
    <w:uiPriority w:val="9"/>
    <w:rsid w:val="00243F5F"/>
    <w:rPr>
      <w:rFonts w:ascii="Verdana" w:eastAsia="SimSun" w:hAnsi="Verdana" w:cs="Times New Roman"/>
      <w:bCs/>
      <w:color w:val="441D4A" w:themeColor="accent1" w:themeShade="80"/>
      <w:sz w:val="32"/>
      <w:szCs w:val="26"/>
      <w:lang w:eastAsia="zh-CN"/>
    </w:rPr>
  </w:style>
  <w:style w:type="paragraph" w:styleId="ListParagraph">
    <w:name w:val="List Paragraph"/>
    <w:basedOn w:val="Normal"/>
    <w:uiPriority w:val="34"/>
    <w:rsid w:val="00460A41"/>
    <w:pPr>
      <w:ind w:left="720"/>
      <w:contextualSpacing/>
    </w:pPr>
  </w:style>
  <w:style w:type="paragraph" w:customStyle="1" w:styleId="BulletList">
    <w:name w:val="BulletList"/>
    <w:basedOn w:val="ListParagraph"/>
    <w:link w:val="BulletListChar"/>
    <w:qFormat/>
    <w:rsid w:val="00D93830"/>
    <w:pPr>
      <w:numPr>
        <w:numId w:val="1"/>
      </w:numPr>
      <w:spacing w:before="0"/>
    </w:pPr>
  </w:style>
  <w:style w:type="paragraph" w:customStyle="1" w:styleId="NumberedList">
    <w:name w:val="NumberedList"/>
    <w:basedOn w:val="ListParagraph"/>
    <w:qFormat/>
    <w:rsid w:val="00F23FEC"/>
    <w:pPr>
      <w:numPr>
        <w:numId w:val="2"/>
      </w:numPr>
      <w:spacing w:before="0"/>
    </w:pPr>
  </w:style>
  <w:style w:type="paragraph" w:styleId="Quote">
    <w:name w:val="Quote"/>
    <w:basedOn w:val="Normal"/>
    <w:next w:val="Normal"/>
    <w:link w:val="QuoteChar"/>
    <w:uiPriority w:val="29"/>
    <w:qFormat/>
    <w:rsid w:val="00FC1ABB"/>
    <w:pPr>
      <w:spacing w:after="240" w:line="380" w:lineRule="atLeast"/>
    </w:pPr>
    <w:rPr>
      <w:color w:val="893B94" w:themeColor="accent1"/>
      <w:sz w:val="28"/>
      <w:szCs w:val="28"/>
    </w:rPr>
  </w:style>
  <w:style w:type="character" w:customStyle="1" w:styleId="QuoteChar">
    <w:name w:val="Quote Char"/>
    <w:basedOn w:val="DefaultParagraphFont"/>
    <w:link w:val="Quote"/>
    <w:uiPriority w:val="29"/>
    <w:rsid w:val="00FC1ABB"/>
    <w:rPr>
      <w:rFonts w:ascii="Verdana" w:hAnsi="Verdana"/>
      <w:color w:val="893B94" w:themeColor="accent1"/>
      <w:sz w:val="28"/>
      <w:szCs w:val="28"/>
    </w:rPr>
  </w:style>
  <w:style w:type="paragraph" w:customStyle="1" w:styleId="QuoteSource">
    <w:name w:val="QuoteSource"/>
    <w:basedOn w:val="Normal"/>
    <w:rsid w:val="003D0704"/>
    <w:pPr>
      <w:spacing w:before="60" w:after="60" w:line="240" w:lineRule="auto"/>
    </w:pPr>
    <w:rPr>
      <w:sz w:val="16"/>
      <w:szCs w:val="16"/>
    </w:rPr>
  </w:style>
  <w:style w:type="table" w:styleId="TableGrid">
    <w:name w:val="Table Grid"/>
    <w:basedOn w:val="TableNormal"/>
    <w:uiPriority w:val="39"/>
    <w:rsid w:val="00321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Quote">
    <w:name w:val="SmallQuote"/>
    <w:basedOn w:val="QuoteSource"/>
    <w:rsid w:val="00FC1ABB"/>
    <w:pPr>
      <w:spacing w:before="200" w:after="240" w:line="320" w:lineRule="atLeast"/>
    </w:pPr>
    <w:rPr>
      <w:b/>
      <w:bCs/>
      <w:color w:val="893B94" w:themeColor="accent1"/>
      <w:sz w:val="22"/>
      <w:szCs w:val="22"/>
    </w:rPr>
  </w:style>
  <w:style w:type="paragraph" w:customStyle="1" w:styleId="LargeBox">
    <w:name w:val="LargeBox"/>
    <w:basedOn w:val="Normal"/>
    <w:rsid w:val="00DB21A7"/>
    <w:pPr>
      <w:framePr w:w="10206" w:hSpace="284" w:vSpace="284" w:wrap="around" w:vAnchor="text" w:hAnchor="text" w:y="1"/>
      <w:shd w:val="clear" w:color="auto" w:fill="893B94" w:themeFill="accent1"/>
      <w:spacing w:before="240"/>
      <w:ind w:left="284" w:hanging="284"/>
    </w:pPr>
    <w:rPr>
      <w:color w:val="FFFFFF" w:themeColor="background1"/>
      <w:sz w:val="28"/>
    </w:rPr>
  </w:style>
  <w:style w:type="paragraph" w:customStyle="1" w:styleId="SmallBox">
    <w:name w:val="SmallBox"/>
    <w:basedOn w:val="LargeBox"/>
    <w:rsid w:val="00147D40"/>
    <w:pPr>
      <w:framePr w:w="5103" w:wrap="around"/>
      <w:shd w:val="clear" w:color="auto" w:fill="C78570" w:themeFill="accent4"/>
    </w:pPr>
    <w:rPr>
      <w:b/>
      <w:sz w:val="22"/>
    </w:rPr>
  </w:style>
  <w:style w:type="paragraph" w:customStyle="1" w:styleId="IntroCopy">
    <w:name w:val="Intro Copy"/>
    <w:basedOn w:val="Normal"/>
    <w:link w:val="IntroCopyChar"/>
    <w:rsid w:val="00571BDC"/>
    <w:pPr>
      <w:spacing w:line="420" w:lineRule="exact"/>
    </w:pPr>
    <w:rPr>
      <w:color w:val="893B94" w:themeColor="accent1"/>
      <w:sz w:val="32"/>
      <w:szCs w:val="32"/>
    </w:rPr>
  </w:style>
  <w:style w:type="character" w:customStyle="1" w:styleId="IntroCopyChar">
    <w:name w:val="Intro Copy Char"/>
    <w:basedOn w:val="DefaultParagraphFont"/>
    <w:link w:val="IntroCopy"/>
    <w:rsid w:val="00571BDC"/>
    <w:rPr>
      <w:rFonts w:ascii="Verdana" w:hAnsi="Verdana"/>
      <w:color w:val="893B94" w:themeColor="accent1"/>
      <w:sz w:val="32"/>
      <w:szCs w:val="32"/>
    </w:rPr>
  </w:style>
  <w:style w:type="paragraph" w:customStyle="1" w:styleId="CoverPageHeader">
    <w:name w:val="CoverPage Header"/>
    <w:basedOn w:val="Title"/>
    <w:rsid w:val="00F45A2B"/>
    <w:pPr>
      <w:spacing w:after="480" w:line="240" w:lineRule="auto"/>
    </w:pPr>
    <w:rPr>
      <w:color w:val="893B94" w:themeColor="accent1"/>
      <w:sz w:val="68"/>
      <w:szCs w:val="68"/>
    </w:rPr>
  </w:style>
  <w:style w:type="paragraph" w:customStyle="1" w:styleId="CoverPageSub1">
    <w:name w:val="CoverPage Sub1"/>
    <w:basedOn w:val="Heading1"/>
    <w:rsid w:val="00390F9A"/>
  </w:style>
  <w:style w:type="character" w:customStyle="1" w:styleId="Heading3Char">
    <w:name w:val="Heading 3 Char"/>
    <w:basedOn w:val="DefaultParagraphFont"/>
    <w:link w:val="Heading3"/>
    <w:uiPriority w:val="9"/>
    <w:rsid w:val="00243F5F"/>
    <w:rPr>
      <w:rFonts w:ascii="Verdana" w:hAnsi="Verdana"/>
      <w:bCs/>
      <w:color w:val="300050" w:themeColor="text2"/>
      <w:sz w:val="28"/>
      <w:szCs w:val="32"/>
    </w:rPr>
  </w:style>
  <w:style w:type="character" w:customStyle="1" w:styleId="Heading4Char">
    <w:name w:val="Heading 4 Char"/>
    <w:basedOn w:val="DefaultParagraphFont"/>
    <w:link w:val="Heading4"/>
    <w:uiPriority w:val="9"/>
    <w:rsid w:val="002C1F51"/>
    <w:rPr>
      <w:rFonts w:ascii="Verdana" w:hAnsi="Verdana"/>
      <w:bCs/>
      <w:color w:val="000000" w:themeColor="text1"/>
      <w:sz w:val="26"/>
      <w:szCs w:val="24"/>
    </w:rPr>
  </w:style>
  <w:style w:type="character" w:styleId="Hyperlink">
    <w:name w:val="Hyperlink"/>
    <w:basedOn w:val="DefaultParagraphFont"/>
    <w:uiPriority w:val="99"/>
    <w:unhideWhenUsed/>
    <w:rsid w:val="0092648B"/>
    <w:rPr>
      <w:color w:val="0563C1"/>
      <w:u w:val="single"/>
    </w:rPr>
  </w:style>
  <w:style w:type="character" w:styleId="CommentReference">
    <w:name w:val="annotation reference"/>
    <w:basedOn w:val="DefaultParagraphFont"/>
    <w:uiPriority w:val="99"/>
    <w:semiHidden/>
    <w:unhideWhenUsed/>
    <w:rsid w:val="00C279D9"/>
    <w:rPr>
      <w:sz w:val="16"/>
      <w:szCs w:val="16"/>
    </w:rPr>
  </w:style>
  <w:style w:type="paragraph" w:styleId="CommentText">
    <w:name w:val="annotation text"/>
    <w:basedOn w:val="Normal"/>
    <w:link w:val="CommentTextChar"/>
    <w:uiPriority w:val="99"/>
    <w:semiHidden/>
    <w:unhideWhenUsed/>
    <w:rsid w:val="00C279D9"/>
    <w:pPr>
      <w:spacing w:line="240" w:lineRule="auto"/>
    </w:pPr>
  </w:style>
  <w:style w:type="character" w:customStyle="1" w:styleId="CommentTextChar">
    <w:name w:val="Comment Text Char"/>
    <w:basedOn w:val="DefaultParagraphFont"/>
    <w:link w:val="CommentText"/>
    <w:uiPriority w:val="99"/>
    <w:semiHidden/>
    <w:rsid w:val="00C279D9"/>
    <w:rPr>
      <w:rFonts w:ascii="Verdana" w:hAnsi="Verdan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279D9"/>
    <w:rPr>
      <w:b/>
      <w:bCs/>
    </w:rPr>
  </w:style>
  <w:style w:type="character" w:customStyle="1" w:styleId="CommentSubjectChar">
    <w:name w:val="Comment Subject Char"/>
    <w:basedOn w:val="CommentTextChar"/>
    <w:link w:val="CommentSubject"/>
    <w:uiPriority w:val="99"/>
    <w:semiHidden/>
    <w:rsid w:val="00C279D9"/>
    <w:rPr>
      <w:rFonts w:ascii="Verdana" w:hAnsi="Verdana"/>
      <w:b/>
      <w:bCs/>
      <w:color w:val="000000" w:themeColor="text1"/>
      <w:sz w:val="20"/>
      <w:szCs w:val="20"/>
    </w:rPr>
  </w:style>
  <w:style w:type="paragraph" w:styleId="BalloonText">
    <w:name w:val="Balloon Text"/>
    <w:basedOn w:val="Normal"/>
    <w:link w:val="BalloonTextChar"/>
    <w:uiPriority w:val="99"/>
    <w:semiHidden/>
    <w:unhideWhenUsed/>
    <w:rsid w:val="00C279D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9D9"/>
    <w:rPr>
      <w:rFonts w:ascii="Segoe UI" w:hAnsi="Segoe UI" w:cs="Segoe UI"/>
      <w:color w:val="000000" w:themeColor="text1"/>
      <w:sz w:val="18"/>
      <w:szCs w:val="18"/>
    </w:rPr>
  </w:style>
  <w:style w:type="character" w:customStyle="1" w:styleId="BulletListChar">
    <w:name w:val="BulletList Char"/>
    <w:basedOn w:val="DefaultParagraphFont"/>
    <w:link w:val="BulletList"/>
    <w:rsid w:val="00D93830"/>
    <w:rPr>
      <w:rFonts w:ascii="Verdana" w:hAnsi="Verdana"/>
      <w:color w:val="000000" w:themeColor="text1"/>
      <w:sz w:val="20"/>
      <w:szCs w:val="20"/>
    </w:rPr>
  </w:style>
  <w:style w:type="paragraph" w:customStyle="1" w:styleId="Heading2White">
    <w:name w:val="Heading 2 White"/>
    <w:basedOn w:val="Heading1"/>
    <w:rsid w:val="00C27BF9"/>
    <w:rPr>
      <w:noProof/>
      <w:color w:val="FFFFFF" w:themeColor="background1"/>
      <w:lang w:eastAsia="en-AU"/>
    </w:rPr>
  </w:style>
  <w:style w:type="character" w:styleId="FollowedHyperlink">
    <w:name w:val="FollowedHyperlink"/>
    <w:basedOn w:val="DefaultParagraphFont"/>
    <w:uiPriority w:val="99"/>
    <w:semiHidden/>
    <w:unhideWhenUsed/>
    <w:rsid w:val="00776A9A"/>
    <w:rPr>
      <w:color w:val="000000" w:themeColor="followedHyperlink"/>
      <w:u w:val="single"/>
    </w:rPr>
  </w:style>
  <w:style w:type="paragraph" w:customStyle="1" w:styleId="Default">
    <w:name w:val="Default"/>
    <w:rsid w:val="00746262"/>
    <w:pPr>
      <w:autoSpaceDE w:val="0"/>
      <w:autoSpaceDN w:val="0"/>
      <w:adjustRightInd w:val="0"/>
      <w:spacing w:after="0" w:line="240" w:lineRule="auto"/>
    </w:pPr>
    <w:rPr>
      <w:rFonts w:ascii="Verdana" w:hAnsi="Verdana" w:cs="Verdana"/>
      <w:color w:val="000000"/>
      <w:sz w:val="24"/>
      <w:szCs w:val="24"/>
    </w:rPr>
  </w:style>
  <w:style w:type="paragraph" w:customStyle="1" w:styleId="Pa2">
    <w:name w:val="Pa2"/>
    <w:basedOn w:val="Default"/>
    <w:next w:val="Default"/>
    <w:uiPriority w:val="99"/>
    <w:rsid w:val="00FA4A88"/>
    <w:pPr>
      <w:spacing w:line="141" w:lineRule="atLeast"/>
    </w:pPr>
    <w:rPr>
      <w:rFonts w:ascii="AU Sans BETA Text Medium" w:hAnsi="AU Sans BETA Text Medium" w:cstheme="minorBidi"/>
      <w:color w:val="auto"/>
    </w:rPr>
  </w:style>
  <w:style w:type="paragraph" w:styleId="NormalWeb">
    <w:name w:val="Normal (Web)"/>
    <w:basedOn w:val="Normal"/>
    <w:uiPriority w:val="99"/>
    <w:semiHidden/>
    <w:unhideWhenUsed/>
    <w:rsid w:val="00CF6D8A"/>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FootnoteText">
    <w:name w:val="footnote text"/>
    <w:basedOn w:val="Normal"/>
    <w:link w:val="FootnoteTextChar"/>
    <w:uiPriority w:val="99"/>
    <w:semiHidden/>
    <w:unhideWhenUsed/>
    <w:rsid w:val="005201A3"/>
    <w:pPr>
      <w:spacing w:before="0" w:after="0" w:line="240" w:lineRule="auto"/>
    </w:pPr>
  </w:style>
  <w:style w:type="character" w:customStyle="1" w:styleId="FootnoteTextChar">
    <w:name w:val="Footnote Text Char"/>
    <w:basedOn w:val="DefaultParagraphFont"/>
    <w:link w:val="FootnoteText"/>
    <w:uiPriority w:val="99"/>
    <w:semiHidden/>
    <w:rsid w:val="005201A3"/>
    <w:rPr>
      <w:rFonts w:ascii="Verdana" w:hAnsi="Verdana"/>
      <w:color w:val="000000" w:themeColor="text1"/>
      <w:sz w:val="20"/>
      <w:szCs w:val="20"/>
    </w:rPr>
  </w:style>
  <w:style w:type="character" w:styleId="FootnoteReference">
    <w:name w:val="footnote reference"/>
    <w:basedOn w:val="DefaultParagraphFont"/>
    <w:uiPriority w:val="99"/>
    <w:semiHidden/>
    <w:unhideWhenUsed/>
    <w:rsid w:val="005201A3"/>
    <w:rPr>
      <w:vertAlign w:val="superscript"/>
    </w:rPr>
  </w:style>
  <w:style w:type="paragraph" w:styleId="Caption">
    <w:name w:val="caption"/>
    <w:basedOn w:val="Normal"/>
    <w:next w:val="Normal"/>
    <w:uiPriority w:val="35"/>
    <w:unhideWhenUsed/>
    <w:qFormat/>
    <w:rsid w:val="008922D8"/>
    <w:pPr>
      <w:spacing w:before="0" w:line="240" w:lineRule="auto"/>
    </w:pPr>
    <w:rPr>
      <w:i/>
      <w:iCs/>
      <w:color w:val="300050" w:themeColor="text2"/>
      <w:sz w:val="18"/>
      <w:szCs w:val="18"/>
    </w:rPr>
  </w:style>
  <w:style w:type="character" w:styleId="UnresolvedMention">
    <w:name w:val="Unresolved Mention"/>
    <w:basedOn w:val="DefaultParagraphFont"/>
    <w:uiPriority w:val="99"/>
    <w:semiHidden/>
    <w:unhideWhenUsed/>
    <w:rsid w:val="00545D51"/>
    <w:rPr>
      <w:color w:val="605E5C"/>
      <w:shd w:val="clear" w:color="auto" w:fill="E1DFDD"/>
    </w:rPr>
  </w:style>
  <w:style w:type="paragraph" w:styleId="TOCHeading">
    <w:name w:val="TOC Heading"/>
    <w:basedOn w:val="Heading1"/>
    <w:next w:val="Normal"/>
    <w:uiPriority w:val="39"/>
    <w:unhideWhenUsed/>
    <w:qFormat/>
    <w:rsid w:val="00B61E88"/>
    <w:pPr>
      <w:keepNext/>
      <w:keepLines/>
      <w:spacing w:before="240" w:after="0" w:line="259" w:lineRule="auto"/>
      <w:outlineLvl w:val="9"/>
    </w:pPr>
    <w:rPr>
      <w:rFonts w:asciiTheme="majorHAnsi" w:eastAsiaTheme="majorEastAsia" w:hAnsiTheme="majorHAnsi" w:cstheme="majorBidi"/>
      <w:bCs w:val="0"/>
      <w:color w:val="662C6E" w:themeColor="accent1" w:themeShade="BF"/>
      <w:sz w:val="32"/>
      <w:szCs w:val="32"/>
      <w:lang w:val="en-US" w:eastAsia="en-US"/>
    </w:rPr>
  </w:style>
  <w:style w:type="paragraph" w:styleId="TOC1">
    <w:name w:val="toc 1"/>
    <w:basedOn w:val="Normal"/>
    <w:next w:val="Normal"/>
    <w:autoRedefine/>
    <w:uiPriority w:val="39"/>
    <w:unhideWhenUsed/>
    <w:rsid w:val="00B61E88"/>
    <w:pPr>
      <w:spacing w:after="100"/>
    </w:pPr>
  </w:style>
  <w:style w:type="paragraph" w:styleId="TOC2">
    <w:name w:val="toc 2"/>
    <w:basedOn w:val="Normal"/>
    <w:next w:val="Normal"/>
    <w:autoRedefine/>
    <w:uiPriority w:val="39"/>
    <w:unhideWhenUsed/>
    <w:rsid w:val="00B61E88"/>
    <w:pPr>
      <w:spacing w:after="100"/>
      <w:ind w:left="200"/>
    </w:pPr>
  </w:style>
  <w:style w:type="paragraph" w:styleId="TOC3">
    <w:name w:val="toc 3"/>
    <w:basedOn w:val="Normal"/>
    <w:next w:val="Normal"/>
    <w:autoRedefine/>
    <w:uiPriority w:val="39"/>
    <w:unhideWhenUsed/>
    <w:rsid w:val="00B61E88"/>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263980">
      <w:bodyDiv w:val="1"/>
      <w:marLeft w:val="0"/>
      <w:marRight w:val="0"/>
      <w:marTop w:val="0"/>
      <w:marBottom w:val="0"/>
      <w:divBdr>
        <w:top w:val="none" w:sz="0" w:space="0" w:color="auto"/>
        <w:left w:val="none" w:sz="0" w:space="0" w:color="auto"/>
        <w:bottom w:val="none" w:sz="0" w:space="0" w:color="auto"/>
        <w:right w:val="none" w:sz="0" w:space="0" w:color="auto"/>
      </w:divBdr>
      <w:divsChild>
        <w:div w:id="1361855614">
          <w:marLeft w:val="432"/>
          <w:marRight w:val="0"/>
          <w:marTop w:val="0"/>
          <w:marBottom w:val="160"/>
          <w:divBdr>
            <w:top w:val="none" w:sz="0" w:space="0" w:color="auto"/>
            <w:left w:val="none" w:sz="0" w:space="0" w:color="auto"/>
            <w:bottom w:val="none" w:sz="0" w:space="0" w:color="auto"/>
            <w:right w:val="none" w:sz="0" w:space="0" w:color="auto"/>
          </w:divBdr>
        </w:div>
        <w:div w:id="1625845752">
          <w:marLeft w:val="432"/>
          <w:marRight w:val="0"/>
          <w:marTop w:val="0"/>
          <w:marBottom w:val="160"/>
          <w:divBdr>
            <w:top w:val="none" w:sz="0" w:space="0" w:color="auto"/>
            <w:left w:val="none" w:sz="0" w:space="0" w:color="auto"/>
            <w:bottom w:val="none" w:sz="0" w:space="0" w:color="auto"/>
            <w:right w:val="none" w:sz="0" w:space="0" w:color="auto"/>
          </w:divBdr>
        </w:div>
        <w:div w:id="1939024809">
          <w:marLeft w:val="432"/>
          <w:marRight w:val="0"/>
          <w:marTop w:val="0"/>
          <w:marBottom w:val="160"/>
          <w:divBdr>
            <w:top w:val="none" w:sz="0" w:space="0" w:color="auto"/>
            <w:left w:val="none" w:sz="0" w:space="0" w:color="auto"/>
            <w:bottom w:val="none" w:sz="0" w:space="0" w:color="auto"/>
            <w:right w:val="none" w:sz="0" w:space="0" w:color="auto"/>
          </w:divBdr>
        </w:div>
        <w:div w:id="336273140">
          <w:marLeft w:val="432"/>
          <w:marRight w:val="0"/>
          <w:marTop w:val="0"/>
          <w:marBottom w:val="160"/>
          <w:divBdr>
            <w:top w:val="none" w:sz="0" w:space="0" w:color="auto"/>
            <w:left w:val="none" w:sz="0" w:space="0" w:color="auto"/>
            <w:bottom w:val="none" w:sz="0" w:space="0" w:color="auto"/>
            <w:right w:val="none" w:sz="0" w:space="0" w:color="auto"/>
          </w:divBdr>
        </w:div>
      </w:divsChild>
    </w:div>
    <w:div w:id="75327898">
      <w:bodyDiv w:val="1"/>
      <w:marLeft w:val="0"/>
      <w:marRight w:val="0"/>
      <w:marTop w:val="0"/>
      <w:marBottom w:val="0"/>
      <w:divBdr>
        <w:top w:val="none" w:sz="0" w:space="0" w:color="auto"/>
        <w:left w:val="none" w:sz="0" w:space="0" w:color="auto"/>
        <w:bottom w:val="none" w:sz="0" w:space="0" w:color="auto"/>
        <w:right w:val="none" w:sz="0" w:space="0" w:color="auto"/>
      </w:divBdr>
    </w:div>
    <w:div w:id="88164506">
      <w:bodyDiv w:val="1"/>
      <w:marLeft w:val="0"/>
      <w:marRight w:val="0"/>
      <w:marTop w:val="0"/>
      <w:marBottom w:val="0"/>
      <w:divBdr>
        <w:top w:val="none" w:sz="0" w:space="0" w:color="auto"/>
        <w:left w:val="none" w:sz="0" w:space="0" w:color="auto"/>
        <w:bottom w:val="none" w:sz="0" w:space="0" w:color="auto"/>
        <w:right w:val="none" w:sz="0" w:space="0" w:color="auto"/>
      </w:divBdr>
      <w:divsChild>
        <w:div w:id="1261836767">
          <w:marLeft w:val="274"/>
          <w:marRight w:val="0"/>
          <w:marTop w:val="200"/>
          <w:marBottom w:val="0"/>
          <w:divBdr>
            <w:top w:val="none" w:sz="0" w:space="0" w:color="auto"/>
            <w:left w:val="none" w:sz="0" w:space="0" w:color="auto"/>
            <w:bottom w:val="none" w:sz="0" w:space="0" w:color="auto"/>
            <w:right w:val="none" w:sz="0" w:space="0" w:color="auto"/>
          </w:divBdr>
        </w:div>
        <w:div w:id="2022006852">
          <w:marLeft w:val="274"/>
          <w:marRight w:val="0"/>
          <w:marTop w:val="200"/>
          <w:marBottom w:val="0"/>
          <w:divBdr>
            <w:top w:val="none" w:sz="0" w:space="0" w:color="auto"/>
            <w:left w:val="none" w:sz="0" w:space="0" w:color="auto"/>
            <w:bottom w:val="none" w:sz="0" w:space="0" w:color="auto"/>
            <w:right w:val="none" w:sz="0" w:space="0" w:color="auto"/>
          </w:divBdr>
        </w:div>
        <w:div w:id="179009574">
          <w:marLeft w:val="274"/>
          <w:marRight w:val="0"/>
          <w:marTop w:val="200"/>
          <w:marBottom w:val="0"/>
          <w:divBdr>
            <w:top w:val="none" w:sz="0" w:space="0" w:color="auto"/>
            <w:left w:val="none" w:sz="0" w:space="0" w:color="auto"/>
            <w:bottom w:val="none" w:sz="0" w:space="0" w:color="auto"/>
            <w:right w:val="none" w:sz="0" w:space="0" w:color="auto"/>
          </w:divBdr>
        </w:div>
      </w:divsChild>
    </w:div>
    <w:div w:id="94596685">
      <w:bodyDiv w:val="1"/>
      <w:marLeft w:val="0"/>
      <w:marRight w:val="0"/>
      <w:marTop w:val="0"/>
      <w:marBottom w:val="0"/>
      <w:divBdr>
        <w:top w:val="none" w:sz="0" w:space="0" w:color="auto"/>
        <w:left w:val="none" w:sz="0" w:space="0" w:color="auto"/>
        <w:bottom w:val="none" w:sz="0" w:space="0" w:color="auto"/>
        <w:right w:val="none" w:sz="0" w:space="0" w:color="auto"/>
      </w:divBdr>
    </w:div>
    <w:div w:id="135221017">
      <w:bodyDiv w:val="1"/>
      <w:marLeft w:val="0"/>
      <w:marRight w:val="0"/>
      <w:marTop w:val="0"/>
      <w:marBottom w:val="0"/>
      <w:divBdr>
        <w:top w:val="none" w:sz="0" w:space="0" w:color="auto"/>
        <w:left w:val="none" w:sz="0" w:space="0" w:color="auto"/>
        <w:bottom w:val="none" w:sz="0" w:space="0" w:color="auto"/>
        <w:right w:val="none" w:sz="0" w:space="0" w:color="auto"/>
      </w:divBdr>
    </w:div>
    <w:div w:id="161505017">
      <w:bodyDiv w:val="1"/>
      <w:marLeft w:val="0"/>
      <w:marRight w:val="0"/>
      <w:marTop w:val="0"/>
      <w:marBottom w:val="0"/>
      <w:divBdr>
        <w:top w:val="none" w:sz="0" w:space="0" w:color="auto"/>
        <w:left w:val="none" w:sz="0" w:space="0" w:color="auto"/>
        <w:bottom w:val="none" w:sz="0" w:space="0" w:color="auto"/>
        <w:right w:val="none" w:sz="0" w:space="0" w:color="auto"/>
      </w:divBdr>
    </w:div>
    <w:div w:id="194855477">
      <w:bodyDiv w:val="1"/>
      <w:marLeft w:val="0"/>
      <w:marRight w:val="0"/>
      <w:marTop w:val="0"/>
      <w:marBottom w:val="0"/>
      <w:divBdr>
        <w:top w:val="none" w:sz="0" w:space="0" w:color="auto"/>
        <w:left w:val="none" w:sz="0" w:space="0" w:color="auto"/>
        <w:bottom w:val="none" w:sz="0" w:space="0" w:color="auto"/>
        <w:right w:val="none" w:sz="0" w:space="0" w:color="auto"/>
      </w:divBdr>
    </w:div>
    <w:div w:id="235937506">
      <w:bodyDiv w:val="1"/>
      <w:marLeft w:val="0"/>
      <w:marRight w:val="0"/>
      <w:marTop w:val="0"/>
      <w:marBottom w:val="0"/>
      <w:divBdr>
        <w:top w:val="none" w:sz="0" w:space="0" w:color="auto"/>
        <w:left w:val="none" w:sz="0" w:space="0" w:color="auto"/>
        <w:bottom w:val="none" w:sz="0" w:space="0" w:color="auto"/>
        <w:right w:val="none" w:sz="0" w:space="0" w:color="auto"/>
      </w:divBdr>
    </w:div>
    <w:div w:id="240025141">
      <w:bodyDiv w:val="1"/>
      <w:marLeft w:val="0"/>
      <w:marRight w:val="0"/>
      <w:marTop w:val="0"/>
      <w:marBottom w:val="0"/>
      <w:divBdr>
        <w:top w:val="none" w:sz="0" w:space="0" w:color="auto"/>
        <w:left w:val="none" w:sz="0" w:space="0" w:color="auto"/>
        <w:bottom w:val="none" w:sz="0" w:space="0" w:color="auto"/>
        <w:right w:val="none" w:sz="0" w:space="0" w:color="auto"/>
      </w:divBdr>
    </w:div>
    <w:div w:id="247083152">
      <w:bodyDiv w:val="1"/>
      <w:marLeft w:val="0"/>
      <w:marRight w:val="0"/>
      <w:marTop w:val="0"/>
      <w:marBottom w:val="0"/>
      <w:divBdr>
        <w:top w:val="none" w:sz="0" w:space="0" w:color="auto"/>
        <w:left w:val="none" w:sz="0" w:space="0" w:color="auto"/>
        <w:bottom w:val="none" w:sz="0" w:space="0" w:color="auto"/>
        <w:right w:val="none" w:sz="0" w:space="0" w:color="auto"/>
      </w:divBdr>
    </w:div>
    <w:div w:id="304045034">
      <w:bodyDiv w:val="1"/>
      <w:marLeft w:val="0"/>
      <w:marRight w:val="0"/>
      <w:marTop w:val="0"/>
      <w:marBottom w:val="0"/>
      <w:divBdr>
        <w:top w:val="none" w:sz="0" w:space="0" w:color="auto"/>
        <w:left w:val="none" w:sz="0" w:space="0" w:color="auto"/>
        <w:bottom w:val="none" w:sz="0" w:space="0" w:color="auto"/>
        <w:right w:val="none" w:sz="0" w:space="0" w:color="auto"/>
      </w:divBdr>
    </w:div>
    <w:div w:id="312026130">
      <w:bodyDiv w:val="1"/>
      <w:marLeft w:val="0"/>
      <w:marRight w:val="0"/>
      <w:marTop w:val="0"/>
      <w:marBottom w:val="0"/>
      <w:divBdr>
        <w:top w:val="none" w:sz="0" w:space="0" w:color="auto"/>
        <w:left w:val="none" w:sz="0" w:space="0" w:color="auto"/>
        <w:bottom w:val="none" w:sz="0" w:space="0" w:color="auto"/>
        <w:right w:val="none" w:sz="0" w:space="0" w:color="auto"/>
      </w:divBdr>
    </w:div>
    <w:div w:id="312486449">
      <w:bodyDiv w:val="1"/>
      <w:marLeft w:val="0"/>
      <w:marRight w:val="0"/>
      <w:marTop w:val="0"/>
      <w:marBottom w:val="0"/>
      <w:divBdr>
        <w:top w:val="none" w:sz="0" w:space="0" w:color="auto"/>
        <w:left w:val="none" w:sz="0" w:space="0" w:color="auto"/>
        <w:bottom w:val="none" w:sz="0" w:space="0" w:color="auto"/>
        <w:right w:val="none" w:sz="0" w:space="0" w:color="auto"/>
      </w:divBdr>
      <w:divsChild>
        <w:div w:id="1905263693">
          <w:marLeft w:val="547"/>
          <w:marRight w:val="0"/>
          <w:marTop w:val="0"/>
          <w:marBottom w:val="0"/>
          <w:divBdr>
            <w:top w:val="none" w:sz="0" w:space="0" w:color="auto"/>
            <w:left w:val="none" w:sz="0" w:space="0" w:color="auto"/>
            <w:bottom w:val="none" w:sz="0" w:space="0" w:color="auto"/>
            <w:right w:val="none" w:sz="0" w:space="0" w:color="auto"/>
          </w:divBdr>
        </w:div>
        <w:div w:id="1986622415">
          <w:marLeft w:val="547"/>
          <w:marRight w:val="0"/>
          <w:marTop w:val="0"/>
          <w:marBottom w:val="0"/>
          <w:divBdr>
            <w:top w:val="none" w:sz="0" w:space="0" w:color="auto"/>
            <w:left w:val="none" w:sz="0" w:space="0" w:color="auto"/>
            <w:bottom w:val="none" w:sz="0" w:space="0" w:color="auto"/>
            <w:right w:val="none" w:sz="0" w:space="0" w:color="auto"/>
          </w:divBdr>
        </w:div>
        <w:div w:id="92897062">
          <w:marLeft w:val="547"/>
          <w:marRight w:val="0"/>
          <w:marTop w:val="0"/>
          <w:marBottom w:val="0"/>
          <w:divBdr>
            <w:top w:val="none" w:sz="0" w:space="0" w:color="auto"/>
            <w:left w:val="none" w:sz="0" w:space="0" w:color="auto"/>
            <w:bottom w:val="none" w:sz="0" w:space="0" w:color="auto"/>
            <w:right w:val="none" w:sz="0" w:space="0" w:color="auto"/>
          </w:divBdr>
        </w:div>
      </w:divsChild>
    </w:div>
    <w:div w:id="337466709">
      <w:bodyDiv w:val="1"/>
      <w:marLeft w:val="0"/>
      <w:marRight w:val="0"/>
      <w:marTop w:val="0"/>
      <w:marBottom w:val="0"/>
      <w:divBdr>
        <w:top w:val="none" w:sz="0" w:space="0" w:color="auto"/>
        <w:left w:val="none" w:sz="0" w:space="0" w:color="auto"/>
        <w:bottom w:val="none" w:sz="0" w:space="0" w:color="auto"/>
        <w:right w:val="none" w:sz="0" w:space="0" w:color="auto"/>
      </w:divBdr>
    </w:div>
    <w:div w:id="428624443">
      <w:bodyDiv w:val="1"/>
      <w:marLeft w:val="0"/>
      <w:marRight w:val="0"/>
      <w:marTop w:val="0"/>
      <w:marBottom w:val="0"/>
      <w:divBdr>
        <w:top w:val="none" w:sz="0" w:space="0" w:color="auto"/>
        <w:left w:val="none" w:sz="0" w:space="0" w:color="auto"/>
        <w:bottom w:val="none" w:sz="0" w:space="0" w:color="auto"/>
        <w:right w:val="none" w:sz="0" w:space="0" w:color="auto"/>
      </w:divBdr>
    </w:div>
    <w:div w:id="439375172">
      <w:bodyDiv w:val="1"/>
      <w:marLeft w:val="0"/>
      <w:marRight w:val="0"/>
      <w:marTop w:val="0"/>
      <w:marBottom w:val="0"/>
      <w:divBdr>
        <w:top w:val="none" w:sz="0" w:space="0" w:color="auto"/>
        <w:left w:val="none" w:sz="0" w:space="0" w:color="auto"/>
        <w:bottom w:val="none" w:sz="0" w:space="0" w:color="auto"/>
        <w:right w:val="none" w:sz="0" w:space="0" w:color="auto"/>
      </w:divBdr>
      <w:divsChild>
        <w:div w:id="1885677927">
          <w:marLeft w:val="274"/>
          <w:marRight w:val="0"/>
          <w:marTop w:val="0"/>
          <w:marBottom w:val="0"/>
          <w:divBdr>
            <w:top w:val="none" w:sz="0" w:space="0" w:color="auto"/>
            <w:left w:val="none" w:sz="0" w:space="0" w:color="auto"/>
            <w:bottom w:val="none" w:sz="0" w:space="0" w:color="auto"/>
            <w:right w:val="none" w:sz="0" w:space="0" w:color="auto"/>
          </w:divBdr>
        </w:div>
        <w:div w:id="1945334650">
          <w:marLeft w:val="274"/>
          <w:marRight w:val="0"/>
          <w:marTop w:val="0"/>
          <w:marBottom w:val="0"/>
          <w:divBdr>
            <w:top w:val="none" w:sz="0" w:space="0" w:color="auto"/>
            <w:left w:val="none" w:sz="0" w:space="0" w:color="auto"/>
            <w:bottom w:val="none" w:sz="0" w:space="0" w:color="auto"/>
            <w:right w:val="none" w:sz="0" w:space="0" w:color="auto"/>
          </w:divBdr>
        </w:div>
        <w:div w:id="1882131771">
          <w:marLeft w:val="274"/>
          <w:marRight w:val="0"/>
          <w:marTop w:val="0"/>
          <w:marBottom w:val="0"/>
          <w:divBdr>
            <w:top w:val="none" w:sz="0" w:space="0" w:color="auto"/>
            <w:left w:val="none" w:sz="0" w:space="0" w:color="auto"/>
            <w:bottom w:val="none" w:sz="0" w:space="0" w:color="auto"/>
            <w:right w:val="none" w:sz="0" w:space="0" w:color="auto"/>
          </w:divBdr>
        </w:div>
        <w:div w:id="1685282352">
          <w:marLeft w:val="274"/>
          <w:marRight w:val="0"/>
          <w:marTop w:val="0"/>
          <w:marBottom w:val="0"/>
          <w:divBdr>
            <w:top w:val="none" w:sz="0" w:space="0" w:color="auto"/>
            <w:left w:val="none" w:sz="0" w:space="0" w:color="auto"/>
            <w:bottom w:val="none" w:sz="0" w:space="0" w:color="auto"/>
            <w:right w:val="none" w:sz="0" w:space="0" w:color="auto"/>
          </w:divBdr>
        </w:div>
        <w:div w:id="462113835">
          <w:marLeft w:val="274"/>
          <w:marRight w:val="0"/>
          <w:marTop w:val="0"/>
          <w:marBottom w:val="0"/>
          <w:divBdr>
            <w:top w:val="none" w:sz="0" w:space="0" w:color="auto"/>
            <w:left w:val="none" w:sz="0" w:space="0" w:color="auto"/>
            <w:bottom w:val="none" w:sz="0" w:space="0" w:color="auto"/>
            <w:right w:val="none" w:sz="0" w:space="0" w:color="auto"/>
          </w:divBdr>
        </w:div>
      </w:divsChild>
    </w:div>
    <w:div w:id="496068514">
      <w:bodyDiv w:val="1"/>
      <w:marLeft w:val="0"/>
      <w:marRight w:val="0"/>
      <w:marTop w:val="0"/>
      <w:marBottom w:val="0"/>
      <w:divBdr>
        <w:top w:val="none" w:sz="0" w:space="0" w:color="auto"/>
        <w:left w:val="none" w:sz="0" w:space="0" w:color="auto"/>
        <w:bottom w:val="none" w:sz="0" w:space="0" w:color="auto"/>
        <w:right w:val="none" w:sz="0" w:space="0" w:color="auto"/>
      </w:divBdr>
    </w:div>
    <w:div w:id="520238607">
      <w:bodyDiv w:val="1"/>
      <w:marLeft w:val="0"/>
      <w:marRight w:val="0"/>
      <w:marTop w:val="0"/>
      <w:marBottom w:val="0"/>
      <w:divBdr>
        <w:top w:val="none" w:sz="0" w:space="0" w:color="auto"/>
        <w:left w:val="none" w:sz="0" w:space="0" w:color="auto"/>
        <w:bottom w:val="none" w:sz="0" w:space="0" w:color="auto"/>
        <w:right w:val="none" w:sz="0" w:space="0" w:color="auto"/>
      </w:divBdr>
    </w:div>
    <w:div w:id="559054447">
      <w:bodyDiv w:val="1"/>
      <w:marLeft w:val="0"/>
      <w:marRight w:val="0"/>
      <w:marTop w:val="0"/>
      <w:marBottom w:val="0"/>
      <w:divBdr>
        <w:top w:val="none" w:sz="0" w:space="0" w:color="auto"/>
        <w:left w:val="none" w:sz="0" w:space="0" w:color="auto"/>
        <w:bottom w:val="none" w:sz="0" w:space="0" w:color="auto"/>
        <w:right w:val="none" w:sz="0" w:space="0" w:color="auto"/>
      </w:divBdr>
      <w:divsChild>
        <w:div w:id="475490113">
          <w:marLeft w:val="360"/>
          <w:marRight w:val="0"/>
          <w:marTop w:val="0"/>
          <w:marBottom w:val="0"/>
          <w:divBdr>
            <w:top w:val="none" w:sz="0" w:space="0" w:color="auto"/>
            <w:left w:val="none" w:sz="0" w:space="0" w:color="auto"/>
            <w:bottom w:val="none" w:sz="0" w:space="0" w:color="auto"/>
            <w:right w:val="none" w:sz="0" w:space="0" w:color="auto"/>
          </w:divBdr>
        </w:div>
        <w:div w:id="280502707">
          <w:marLeft w:val="360"/>
          <w:marRight w:val="0"/>
          <w:marTop w:val="0"/>
          <w:marBottom w:val="0"/>
          <w:divBdr>
            <w:top w:val="none" w:sz="0" w:space="0" w:color="auto"/>
            <w:left w:val="none" w:sz="0" w:space="0" w:color="auto"/>
            <w:bottom w:val="none" w:sz="0" w:space="0" w:color="auto"/>
            <w:right w:val="none" w:sz="0" w:space="0" w:color="auto"/>
          </w:divBdr>
        </w:div>
        <w:div w:id="1060522053">
          <w:marLeft w:val="360"/>
          <w:marRight w:val="0"/>
          <w:marTop w:val="0"/>
          <w:marBottom w:val="0"/>
          <w:divBdr>
            <w:top w:val="none" w:sz="0" w:space="0" w:color="auto"/>
            <w:left w:val="none" w:sz="0" w:space="0" w:color="auto"/>
            <w:bottom w:val="none" w:sz="0" w:space="0" w:color="auto"/>
            <w:right w:val="none" w:sz="0" w:space="0" w:color="auto"/>
          </w:divBdr>
        </w:div>
      </w:divsChild>
    </w:div>
    <w:div w:id="564072483">
      <w:bodyDiv w:val="1"/>
      <w:marLeft w:val="0"/>
      <w:marRight w:val="0"/>
      <w:marTop w:val="0"/>
      <w:marBottom w:val="0"/>
      <w:divBdr>
        <w:top w:val="none" w:sz="0" w:space="0" w:color="auto"/>
        <w:left w:val="none" w:sz="0" w:space="0" w:color="auto"/>
        <w:bottom w:val="none" w:sz="0" w:space="0" w:color="auto"/>
        <w:right w:val="none" w:sz="0" w:space="0" w:color="auto"/>
      </w:divBdr>
    </w:div>
    <w:div w:id="608976318">
      <w:bodyDiv w:val="1"/>
      <w:marLeft w:val="0"/>
      <w:marRight w:val="0"/>
      <w:marTop w:val="0"/>
      <w:marBottom w:val="0"/>
      <w:divBdr>
        <w:top w:val="none" w:sz="0" w:space="0" w:color="auto"/>
        <w:left w:val="none" w:sz="0" w:space="0" w:color="auto"/>
        <w:bottom w:val="none" w:sz="0" w:space="0" w:color="auto"/>
        <w:right w:val="none" w:sz="0" w:space="0" w:color="auto"/>
      </w:divBdr>
    </w:div>
    <w:div w:id="609123648">
      <w:bodyDiv w:val="1"/>
      <w:marLeft w:val="0"/>
      <w:marRight w:val="0"/>
      <w:marTop w:val="0"/>
      <w:marBottom w:val="0"/>
      <w:divBdr>
        <w:top w:val="none" w:sz="0" w:space="0" w:color="auto"/>
        <w:left w:val="none" w:sz="0" w:space="0" w:color="auto"/>
        <w:bottom w:val="none" w:sz="0" w:space="0" w:color="auto"/>
        <w:right w:val="none" w:sz="0" w:space="0" w:color="auto"/>
      </w:divBdr>
    </w:div>
    <w:div w:id="616062801">
      <w:bodyDiv w:val="1"/>
      <w:marLeft w:val="0"/>
      <w:marRight w:val="0"/>
      <w:marTop w:val="0"/>
      <w:marBottom w:val="0"/>
      <w:divBdr>
        <w:top w:val="none" w:sz="0" w:space="0" w:color="auto"/>
        <w:left w:val="none" w:sz="0" w:space="0" w:color="auto"/>
        <w:bottom w:val="none" w:sz="0" w:space="0" w:color="auto"/>
        <w:right w:val="none" w:sz="0" w:space="0" w:color="auto"/>
      </w:divBdr>
      <w:divsChild>
        <w:div w:id="1428115609">
          <w:marLeft w:val="432"/>
          <w:marRight w:val="0"/>
          <w:marTop w:val="0"/>
          <w:marBottom w:val="160"/>
          <w:divBdr>
            <w:top w:val="none" w:sz="0" w:space="0" w:color="auto"/>
            <w:left w:val="none" w:sz="0" w:space="0" w:color="auto"/>
            <w:bottom w:val="none" w:sz="0" w:space="0" w:color="auto"/>
            <w:right w:val="none" w:sz="0" w:space="0" w:color="auto"/>
          </w:divBdr>
        </w:div>
        <w:div w:id="2032145829">
          <w:marLeft w:val="432"/>
          <w:marRight w:val="0"/>
          <w:marTop w:val="0"/>
          <w:marBottom w:val="160"/>
          <w:divBdr>
            <w:top w:val="none" w:sz="0" w:space="0" w:color="auto"/>
            <w:left w:val="none" w:sz="0" w:space="0" w:color="auto"/>
            <w:bottom w:val="none" w:sz="0" w:space="0" w:color="auto"/>
            <w:right w:val="none" w:sz="0" w:space="0" w:color="auto"/>
          </w:divBdr>
        </w:div>
        <w:div w:id="609892717">
          <w:marLeft w:val="432"/>
          <w:marRight w:val="0"/>
          <w:marTop w:val="0"/>
          <w:marBottom w:val="160"/>
          <w:divBdr>
            <w:top w:val="none" w:sz="0" w:space="0" w:color="auto"/>
            <w:left w:val="none" w:sz="0" w:space="0" w:color="auto"/>
            <w:bottom w:val="none" w:sz="0" w:space="0" w:color="auto"/>
            <w:right w:val="none" w:sz="0" w:space="0" w:color="auto"/>
          </w:divBdr>
        </w:div>
        <w:div w:id="2062242330">
          <w:marLeft w:val="432"/>
          <w:marRight w:val="0"/>
          <w:marTop w:val="0"/>
          <w:marBottom w:val="160"/>
          <w:divBdr>
            <w:top w:val="none" w:sz="0" w:space="0" w:color="auto"/>
            <w:left w:val="none" w:sz="0" w:space="0" w:color="auto"/>
            <w:bottom w:val="none" w:sz="0" w:space="0" w:color="auto"/>
            <w:right w:val="none" w:sz="0" w:space="0" w:color="auto"/>
          </w:divBdr>
        </w:div>
        <w:div w:id="1783452145">
          <w:marLeft w:val="432"/>
          <w:marRight w:val="0"/>
          <w:marTop w:val="0"/>
          <w:marBottom w:val="160"/>
          <w:divBdr>
            <w:top w:val="none" w:sz="0" w:space="0" w:color="auto"/>
            <w:left w:val="none" w:sz="0" w:space="0" w:color="auto"/>
            <w:bottom w:val="none" w:sz="0" w:space="0" w:color="auto"/>
            <w:right w:val="none" w:sz="0" w:space="0" w:color="auto"/>
          </w:divBdr>
        </w:div>
      </w:divsChild>
    </w:div>
    <w:div w:id="642079034">
      <w:bodyDiv w:val="1"/>
      <w:marLeft w:val="0"/>
      <w:marRight w:val="0"/>
      <w:marTop w:val="0"/>
      <w:marBottom w:val="0"/>
      <w:divBdr>
        <w:top w:val="none" w:sz="0" w:space="0" w:color="auto"/>
        <w:left w:val="none" w:sz="0" w:space="0" w:color="auto"/>
        <w:bottom w:val="none" w:sz="0" w:space="0" w:color="auto"/>
        <w:right w:val="none" w:sz="0" w:space="0" w:color="auto"/>
      </w:divBdr>
    </w:div>
    <w:div w:id="650864002">
      <w:bodyDiv w:val="1"/>
      <w:marLeft w:val="0"/>
      <w:marRight w:val="0"/>
      <w:marTop w:val="0"/>
      <w:marBottom w:val="0"/>
      <w:divBdr>
        <w:top w:val="none" w:sz="0" w:space="0" w:color="auto"/>
        <w:left w:val="none" w:sz="0" w:space="0" w:color="auto"/>
        <w:bottom w:val="none" w:sz="0" w:space="0" w:color="auto"/>
        <w:right w:val="none" w:sz="0" w:space="0" w:color="auto"/>
      </w:divBdr>
      <w:divsChild>
        <w:div w:id="733747166">
          <w:marLeft w:val="274"/>
          <w:marRight w:val="0"/>
          <w:marTop w:val="0"/>
          <w:marBottom w:val="0"/>
          <w:divBdr>
            <w:top w:val="none" w:sz="0" w:space="0" w:color="auto"/>
            <w:left w:val="none" w:sz="0" w:space="0" w:color="auto"/>
            <w:bottom w:val="none" w:sz="0" w:space="0" w:color="auto"/>
            <w:right w:val="none" w:sz="0" w:space="0" w:color="auto"/>
          </w:divBdr>
        </w:div>
        <w:div w:id="1705710697">
          <w:marLeft w:val="274"/>
          <w:marRight w:val="0"/>
          <w:marTop w:val="0"/>
          <w:marBottom w:val="0"/>
          <w:divBdr>
            <w:top w:val="none" w:sz="0" w:space="0" w:color="auto"/>
            <w:left w:val="none" w:sz="0" w:space="0" w:color="auto"/>
            <w:bottom w:val="none" w:sz="0" w:space="0" w:color="auto"/>
            <w:right w:val="none" w:sz="0" w:space="0" w:color="auto"/>
          </w:divBdr>
        </w:div>
        <w:div w:id="637955644">
          <w:marLeft w:val="274"/>
          <w:marRight w:val="0"/>
          <w:marTop w:val="0"/>
          <w:marBottom w:val="0"/>
          <w:divBdr>
            <w:top w:val="none" w:sz="0" w:space="0" w:color="auto"/>
            <w:left w:val="none" w:sz="0" w:space="0" w:color="auto"/>
            <w:bottom w:val="none" w:sz="0" w:space="0" w:color="auto"/>
            <w:right w:val="none" w:sz="0" w:space="0" w:color="auto"/>
          </w:divBdr>
        </w:div>
      </w:divsChild>
    </w:div>
    <w:div w:id="708719887">
      <w:bodyDiv w:val="1"/>
      <w:marLeft w:val="0"/>
      <w:marRight w:val="0"/>
      <w:marTop w:val="0"/>
      <w:marBottom w:val="0"/>
      <w:divBdr>
        <w:top w:val="none" w:sz="0" w:space="0" w:color="auto"/>
        <w:left w:val="none" w:sz="0" w:space="0" w:color="auto"/>
        <w:bottom w:val="none" w:sz="0" w:space="0" w:color="auto"/>
        <w:right w:val="none" w:sz="0" w:space="0" w:color="auto"/>
      </w:divBdr>
      <w:divsChild>
        <w:div w:id="934021901">
          <w:marLeft w:val="360"/>
          <w:marRight w:val="0"/>
          <w:marTop w:val="0"/>
          <w:marBottom w:val="120"/>
          <w:divBdr>
            <w:top w:val="none" w:sz="0" w:space="0" w:color="auto"/>
            <w:left w:val="none" w:sz="0" w:space="0" w:color="auto"/>
            <w:bottom w:val="none" w:sz="0" w:space="0" w:color="auto"/>
            <w:right w:val="none" w:sz="0" w:space="0" w:color="auto"/>
          </w:divBdr>
        </w:div>
        <w:div w:id="1897664284">
          <w:marLeft w:val="360"/>
          <w:marRight w:val="0"/>
          <w:marTop w:val="0"/>
          <w:marBottom w:val="120"/>
          <w:divBdr>
            <w:top w:val="none" w:sz="0" w:space="0" w:color="auto"/>
            <w:left w:val="none" w:sz="0" w:space="0" w:color="auto"/>
            <w:bottom w:val="none" w:sz="0" w:space="0" w:color="auto"/>
            <w:right w:val="none" w:sz="0" w:space="0" w:color="auto"/>
          </w:divBdr>
        </w:div>
      </w:divsChild>
    </w:div>
    <w:div w:id="760564280">
      <w:bodyDiv w:val="1"/>
      <w:marLeft w:val="0"/>
      <w:marRight w:val="0"/>
      <w:marTop w:val="0"/>
      <w:marBottom w:val="0"/>
      <w:divBdr>
        <w:top w:val="none" w:sz="0" w:space="0" w:color="auto"/>
        <w:left w:val="none" w:sz="0" w:space="0" w:color="auto"/>
        <w:bottom w:val="none" w:sz="0" w:space="0" w:color="auto"/>
        <w:right w:val="none" w:sz="0" w:space="0" w:color="auto"/>
      </w:divBdr>
    </w:div>
    <w:div w:id="835804173">
      <w:bodyDiv w:val="1"/>
      <w:marLeft w:val="0"/>
      <w:marRight w:val="0"/>
      <w:marTop w:val="0"/>
      <w:marBottom w:val="0"/>
      <w:divBdr>
        <w:top w:val="none" w:sz="0" w:space="0" w:color="auto"/>
        <w:left w:val="none" w:sz="0" w:space="0" w:color="auto"/>
        <w:bottom w:val="none" w:sz="0" w:space="0" w:color="auto"/>
        <w:right w:val="none" w:sz="0" w:space="0" w:color="auto"/>
      </w:divBdr>
    </w:div>
    <w:div w:id="861210002">
      <w:bodyDiv w:val="1"/>
      <w:marLeft w:val="0"/>
      <w:marRight w:val="0"/>
      <w:marTop w:val="0"/>
      <w:marBottom w:val="0"/>
      <w:divBdr>
        <w:top w:val="none" w:sz="0" w:space="0" w:color="auto"/>
        <w:left w:val="none" w:sz="0" w:space="0" w:color="auto"/>
        <w:bottom w:val="none" w:sz="0" w:space="0" w:color="auto"/>
        <w:right w:val="none" w:sz="0" w:space="0" w:color="auto"/>
      </w:divBdr>
      <w:divsChild>
        <w:div w:id="871305809">
          <w:marLeft w:val="274"/>
          <w:marRight w:val="0"/>
          <w:marTop w:val="0"/>
          <w:marBottom w:val="0"/>
          <w:divBdr>
            <w:top w:val="none" w:sz="0" w:space="0" w:color="auto"/>
            <w:left w:val="none" w:sz="0" w:space="0" w:color="auto"/>
            <w:bottom w:val="none" w:sz="0" w:space="0" w:color="auto"/>
            <w:right w:val="none" w:sz="0" w:space="0" w:color="auto"/>
          </w:divBdr>
        </w:div>
        <w:div w:id="1319724332">
          <w:marLeft w:val="274"/>
          <w:marRight w:val="0"/>
          <w:marTop w:val="0"/>
          <w:marBottom w:val="0"/>
          <w:divBdr>
            <w:top w:val="none" w:sz="0" w:space="0" w:color="auto"/>
            <w:left w:val="none" w:sz="0" w:space="0" w:color="auto"/>
            <w:bottom w:val="none" w:sz="0" w:space="0" w:color="auto"/>
            <w:right w:val="none" w:sz="0" w:space="0" w:color="auto"/>
          </w:divBdr>
        </w:div>
        <w:div w:id="1794207770">
          <w:marLeft w:val="274"/>
          <w:marRight w:val="0"/>
          <w:marTop w:val="0"/>
          <w:marBottom w:val="0"/>
          <w:divBdr>
            <w:top w:val="none" w:sz="0" w:space="0" w:color="auto"/>
            <w:left w:val="none" w:sz="0" w:space="0" w:color="auto"/>
            <w:bottom w:val="none" w:sz="0" w:space="0" w:color="auto"/>
            <w:right w:val="none" w:sz="0" w:space="0" w:color="auto"/>
          </w:divBdr>
        </w:div>
        <w:div w:id="1480420488">
          <w:marLeft w:val="274"/>
          <w:marRight w:val="0"/>
          <w:marTop w:val="0"/>
          <w:marBottom w:val="0"/>
          <w:divBdr>
            <w:top w:val="none" w:sz="0" w:space="0" w:color="auto"/>
            <w:left w:val="none" w:sz="0" w:space="0" w:color="auto"/>
            <w:bottom w:val="none" w:sz="0" w:space="0" w:color="auto"/>
            <w:right w:val="none" w:sz="0" w:space="0" w:color="auto"/>
          </w:divBdr>
        </w:div>
      </w:divsChild>
    </w:div>
    <w:div w:id="874393971">
      <w:bodyDiv w:val="1"/>
      <w:marLeft w:val="0"/>
      <w:marRight w:val="0"/>
      <w:marTop w:val="0"/>
      <w:marBottom w:val="0"/>
      <w:divBdr>
        <w:top w:val="none" w:sz="0" w:space="0" w:color="auto"/>
        <w:left w:val="none" w:sz="0" w:space="0" w:color="auto"/>
        <w:bottom w:val="none" w:sz="0" w:space="0" w:color="auto"/>
        <w:right w:val="none" w:sz="0" w:space="0" w:color="auto"/>
      </w:divBdr>
    </w:div>
    <w:div w:id="885871509">
      <w:bodyDiv w:val="1"/>
      <w:marLeft w:val="0"/>
      <w:marRight w:val="0"/>
      <w:marTop w:val="0"/>
      <w:marBottom w:val="0"/>
      <w:divBdr>
        <w:top w:val="none" w:sz="0" w:space="0" w:color="auto"/>
        <w:left w:val="none" w:sz="0" w:space="0" w:color="auto"/>
        <w:bottom w:val="none" w:sz="0" w:space="0" w:color="auto"/>
        <w:right w:val="none" w:sz="0" w:space="0" w:color="auto"/>
      </w:divBdr>
      <w:divsChild>
        <w:div w:id="1986469709">
          <w:marLeft w:val="274"/>
          <w:marRight w:val="0"/>
          <w:marTop w:val="0"/>
          <w:marBottom w:val="0"/>
          <w:divBdr>
            <w:top w:val="none" w:sz="0" w:space="0" w:color="auto"/>
            <w:left w:val="none" w:sz="0" w:space="0" w:color="auto"/>
            <w:bottom w:val="none" w:sz="0" w:space="0" w:color="auto"/>
            <w:right w:val="none" w:sz="0" w:space="0" w:color="auto"/>
          </w:divBdr>
        </w:div>
        <w:div w:id="547691376">
          <w:marLeft w:val="274"/>
          <w:marRight w:val="0"/>
          <w:marTop w:val="0"/>
          <w:marBottom w:val="0"/>
          <w:divBdr>
            <w:top w:val="none" w:sz="0" w:space="0" w:color="auto"/>
            <w:left w:val="none" w:sz="0" w:space="0" w:color="auto"/>
            <w:bottom w:val="none" w:sz="0" w:space="0" w:color="auto"/>
            <w:right w:val="none" w:sz="0" w:space="0" w:color="auto"/>
          </w:divBdr>
        </w:div>
        <w:div w:id="1357850384">
          <w:marLeft w:val="274"/>
          <w:marRight w:val="0"/>
          <w:marTop w:val="0"/>
          <w:marBottom w:val="0"/>
          <w:divBdr>
            <w:top w:val="none" w:sz="0" w:space="0" w:color="auto"/>
            <w:left w:val="none" w:sz="0" w:space="0" w:color="auto"/>
            <w:bottom w:val="none" w:sz="0" w:space="0" w:color="auto"/>
            <w:right w:val="none" w:sz="0" w:space="0" w:color="auto"/>
          </w:divBdr>
        </w:div>
      </w:divsChild>
    </w:div>
    <w:div w:id="902762859">
      <w:bodyDiv w:val="1"/>
      <w:marLeft w:val="0"/>
      <w:marRight w:val="0"/>
      <w:marTop w:val="0"/>
      <w:marBottom w:val="0"/>
      <w:divBdr>
        <w:top w:val="none" w:sz="0" w:space="0" w:color="auto"/>
        <w:left w:val="none" w:sz="0" w:space="0" w:color="auto"/>
        <w:bottom w:val="none" w:sz="0" w:space="0" w:color="auto"/>
        <w:right w:val="none" w:sz="0" w:space="0" w:color="auto"/>
      </w:divBdr>
    </w:div>
    <w:div w:id="908199226">
      <w:bodyDiv w:val="1"/>
      <w:marLeft w:val="0"/>
      <w:marRight w:val="0"/>
      <w:marTop w:val="0"/>
      <w:marBottom w:val="0"/>
      <w:divBdr>
        <w:top w:val="none" w:sz="0" w:space="0" w:color="auto"/>
        <w:left w:val="none" w:sz="0" w:space="0" w:color="auto"/>
        <w:bottom w:val="none" w:sz="0" w:space="0" w:color="auto"/>
        <w:right w:val="none" w:sz="0" w:space="0" w:color="auto"/>
      </w:divBdr>
    </w:div>
    <w:div w:id="923106852">
      <w:bodyDiv w:val="1"/>
      <w:marLeft w:val="0"/>
      <w:marRight w:val="0"/>
      <w:marTop w:val="0"/>
      <w:marBottom w:val="0"/>
      <w:divBdr>
        <w:top w:val="none" w:sz="0" w:space="0" w:color="auto"/>
        <w:left w:val="none" w:sz="0" w:space="0" w:color="auto"/>
        <w:bottom w:val="none" w:sz="0" w:space="0" w:color="auto"/>
        <w:right w:val="none" w:sz="0" w:space="0" w:color="auto"/>
      </w:divBdr>
    </w:div>
    <w:div w:id="941033552">
      <w:bodyDiv w:val="1"/>
      <w:marLeft w:val="0"/>
      <w:marRight w:val="0"/>
      <w:marTop w:val="0"/>
      <w:marBottom w:val="0"/>
      <w:divBdr>
        <w:top w:val="none" w:sz="0" w:space="0" w:color="auto"/>
        <w:left w:val="none" w:sz="0" w:space="0" w:color="auto"/>
        <w:bottom w:val="none" w:sz="0" w:space="0" w:color="auto"/>
        <w:right w:val="none" w:sz="0" w:space="0" w:color="auto"/>
      </w:divBdr>
    </w:div>
    <w:div w:id="945112780">
      <w:bodyDiv w:val="1"/>
      <w:marLeft w:val="0"/>
      <w:marRight w:val="0"/>
      <w:marTop w:val="0"/>
      <w:marBottom w:val="0"/>
      <w:divBdr>
        <w:top w:val="none" w:sz="0" w:space="0" w:color="auto"/>
        <w:left w:val="none" w:sz="0" w:space="0" w:color="auto"/>
        <w:bottom w:val="none" w:sz="0" w:space="0" w:color="auto"/>
        <w:right w:val="none" w:sz="0" w:space="0" w:color="auto"/>
      </w:divBdr>
    </w:div>
    <w:div w:id="953169696">
      <w:bodyDiv w:val="1"/>
      <w:marLeft w:val="0"/>
      <w:marRight w:val="0"/>
      <w:marTop w:val="0"/>
      <w:marBottom w:val="0"/>
      <w:divBdr>
        <w:top w:val="none" w:sz="0" w:space="0" w:color="auto"/>
        <w:left w:val="none" w:sz="0" w:space="0" w:color="auto"/>
        <w:bottom w:val="none" w:sz="0" w:space="0" w:color="auto"/>
        <w:right w:val="none" w:sz="0" w:space="0" w:color="auto"/>
      </w:divBdr>
    </w:div>
    <w:div w:id="953287162">
      <w:bodyDiv w:val="1"/>
      <w:marLeft w:val="0"/>
      <w:marRight w:val="0"/>
      <w:marTop w:val="0"/>
      <w:marBottom w:val="0"/>
      <w:divBdr>
        <w:top w:val="none" w:sz="0" w:space="0" w:color="auto"/>
        <w:left w:val="none" w:sz="0" w:space="0" w:color="auto"/>
        <w:bottom w:val="none" w:sz="0" w:space="0" w:color="auto"/>
        <w:right w:val="none" w:sz="0" w:space="0" w:color="auto"/>
      </w:divBdr>
      <w:divsChild>
        <w:div w:id="86587125">
          <w:marLeft w:val="446"/>
          <w:marRight w:val="0"/>
          <w:marTop w:val="0"/>
          <w:marBottom w:val="0"/>
          <w:divBdr>
            <w:top w:val="none" w:sz="0" w:space="0" w:color="auto"/>
            <w:left w:val="none" w:sz="0" w:space="0" w:color="auto"/>
            <w:bottom w:val="none" w:sz="0" w:space="0" w:color="auto"/>
            <w:right w:val="none" w:sz="0" w:space="0" w:color="auto"/>
          </w:divBdr>
        </w:div>
        <w:div w:id="115565282">
          <w:marLeft w:val="446"/>
          <w:marRight w:val="0"/>
          <w:marTop w:val="0"/>
          <w:marBottom w:val="0"/>
          <w:divBdr>
            <w:top w:val="none" w:sz="0" w:space="0" w:color="auto"/>
            <w:left w:val="none" w:sz="0" w:space="0" w:color="auto"/>
            <w:bottom w:val="none" w:sz="0" w:space="0" w:color="auto"/>
            <w:right w:val="none" w:sz="0" w:space="0" w:color="auto"/>
          </w:divBdr>
        </w:div>
        <w:div w:id="1389692897">
          <w:marLeft w:val="446"/>
          <w:marRight w:val="0"/>
          <w:marTop w:val="0"/>
          <w:marBottom w:val="0"/>
          <w:divBdr>
            <w:top w:val="none" w:sz="0" w:space="0" w:color="auto"/>
            <w:left w:val="none" w:sz="0" w:space="0" w:color="auto"/>
            <w:bottom w:val="none" w:sz="0" w:space="0" w:color="auto"/>
            <w:right w:val="none" w:sz="0" w:space="0" w:color="auto"/>
          </w:divBdr>
        </w:div>
        <w:div w:id="1026176258">
          <w:marLeft w:val="446"/>
          <w:marRight w:val="0"/>
          <w:marTop w:val="0"/>
          <w:marBottom w:val="0"/>
          <w:divBdr>
            <w:top w:val="none" w:sz="0" w:space="0" w:color="auto"/>
            <w:left w:val="none" w:sz="0" w:space="0" w:color="auto"/>
            <w:bottom w:val="none" w:sz="0" w:space="0" w:color="auto"/>
            <w:right w:val="none" w:sz="0" w:space="0" w:color="auto"/>
          </w:divBdr>
        </w:div>
        <w:div w:id="386341638">
          <w:marLeft w:val="446"/>
          <w:marRight w:val="0"/>
          <w:marTop w:val="0"/>
          <w:marBottom w:val="0"/>
          <w:divBdr>
            <w:top w:val="none" w:sz="0" w:space="0" w:color="auto"/>
            <w:left w:val="none" w:sz="0" w:space="0" w:color="auto"/>
            <w:bottom w:val="none" w:sz="0" w:space="0" w:color="auto"/>
            <w:right w:val="none" w:sz="0" w:space="0" w:color="auto"/>
          </w:divBdr>
        </w:div>
        <w:div w:id="1845970389">
          <w:marLeft w:val="446"/>
          <w:marRight w:val="0"/>
          <w:marTop w:val="0"/>
          <w:marBottom w:val="0"/>
          <w:divBdr>
            <w:top w:val="none" w:sz="0" w:space="0" w:color="auto"/>
            <w:left w:val="none" w:sz="0" w:space="0" w:color="auto"/>
            <w:bottom w:val="none" w:sz="0" w:space="0" w:color="auto"/>
            <w:right w:val="none" w:sz="0" w:space="0" w:color="auto"/>
          </w:divBdr>
        </w:div>
        <w:div w:id="359362672">
          <w:marLeft w:val="446"/>
          <w:marRight w:val="0"/>
          <w:marTop w:val="0"/>
          <w:marBottom w:val="0"/>
          <w:divBdr>
            <w:top w:val="none" w:sz="0" w:space="0" w:color="auto"/>
            <w:left w:val="none" w:sz="0" w:space="0" w:color="auto"/>
            <w:bottom w:val="none" w:sz="0" w:space="0" w:color="auto"/>
            <w:right w:val="none" w:sz="0" w:space="0" w:color="auto"/>
          </w:divBdr>
        </w:div>
        <w:div w:id="156385617">
          <w:marLeft w:val="446"/>
          <w:marRight w:val="0"/>
          <w:marTop w:val="0"/>
          <w:marBottom w:val="0"/>
          <w:divBdr>
            <w:top w:val="none" w:sz="0" w:space="0" w:color="auto"/>
            <w:left w:val="none" w:sz="0" w:space="0" w:color="auto"/>
            <w:bottom w:val="none" w:sz="0" w:space="0" w:color="auto"/>
            <w:right w:val="none" w:sz="0" w:space="0" w:color="auto"/>
          </w:divBdr>
        </w:div>
        <w:div w:id="1240750982">
          <w:marLeft w:val="446"/>
          <w:marRight w:val="0"/>
          <w:marTop w:val="0"/>
          <w:marBottom w:val="0"/>
          <w:divBdr>
            <w:top w:val="none" w:sz="0" w:space="0" w:color="auto"/>
            <w:left w:val="none" w:sz="0" w:space="0" w:color="auto"/>
            <w:bottom w:val="none" w:sz="0" w:space="0" w:color="auto"/>
            <w:right w:val="none" w:sz="0" w:space="0" w:color="auto"/>
          </w:divBdr>
        </w:div>
      </w:divsChild>
    </w:div>
    <w:div w:id="1012683217">
      <w:bodyDiv w:val="1"/>
      <w:marLeft w:val="0"/>
      <w:marRight w:val="0"/>
      <w:marTop w:val="0"/>
      <w:marBottom w:val="0"/>
      <w:divBdr>
        <w:top w:val="none" w:sz="0" w:space="0" w:color="auto"/>
        <w:left w:val="none" w:sz="0" w:space="0" w:color="auto"/>
        <w:bottom w:val="none" w:sz="0" w:space="0" w:color="auto"/>
        <w:right w:val="none" w:sz="0" w:space="0" w:color="auto"/>
      </w:divBdr>
      <w:divsChild>
        <w:div w:id="344017643">
          <w:marLeft w:val="0"/>
          <w:marRight w:val="0"/>
          <w:marTop w:val="0"/>
          <w:marBottom w:val="0"/>
          <w:divBdr>
            <w:top w:val="none" w:sz="0" w:space="0" w:color="auto"/>
            <w:left w:val="none" w:sz="0" w:space="0" w:color="auto"/>
            <w:bottom w:val="none" w:sz="0" w:space="0" w:color="auto"/>
            <w:right w:val="none" w:sz="0" w:space="0" w:color="auto"/>
          </w:divBdr>
        </w:div>
      </w:divsChild>
    </w:div>
    <w:div w:id="1013341175">
      <w:bodyDiv w:val="1"/>
      <w:marLeft w:val="0"/>
      <w:marRight w:val="0"/>
      <w:marTop w:val="0"/>
      <w:marBottom w:val="0"/>
      <w:divBdr>
        <w:top w:val="none" w:sz="0" w:space="0" w:color="auto"/>
        <w:left w:val="none" w:sz="0" w:space="0" w:color="auto"/>
        <w:bottom w:val="none" w:sz="0" w:space="0" w:color="auto"/>
        <w:right w:val="none" w:sz="0" w:space="0" w:color="auto"/>
      </w:divBdr>
    </w:div>
    <w:div w:id="1062875661">
      <w:bodyDiv w:val="1"/>
      <w:marLeft w:val="0"/>
      <w:marRight w:val="0"/>
      <w:marTop w:val="0"/>
      <w:marBottom w:val="0"/>
      <w:divBdr>
        <w:top w:val="none" w:sz="0" w:space="0" w:color="auto"/>
        <w:left w:val="none" w:sz="0" w:space="0" w:color="auto"/>
        <w:bottom w:val="none" w:sz="0" w:space="0" w:color="auto"/>
        <w:right w:val="none" w:sz="0" w:space="0" w:color="auto"/>
      </w:divBdr>
    </w:div>
    <w:div w:id="1083377363">
      <w:bodyDiv w:val="1"/>
      <w:marLeft w:val="0"/>
      <w:marRight w:val="0"/>
      <w:marTop w:val="0"/>
      <w:marBottom w:val="0"/>
      <w:divBdr>
        <w:top w:val="none" w:sz="0" w:space="0" w:color="auto"/>
        <w:left w:val="none" w:sz="0" w:space="0" w:color="auto"/>
        <w:bottom w:val="none" w:sz="0" w:space="0" w:color="auto"/>
        <w:right w:val="none" w:sz="0" w:space="0" w:color="auto"/>
      </w:divBdr>
    </w:div>
    <w:div w:id="1094520627">
      <w:bodyDiv w:val="1"/>
      <w:marLeft w:val="0"/>
      <w:marRight w:val="0"/>
      <w:marTop w:val="0"/>
      <w:marBottom w:val="0"/>
      <w:divBdr>
        <w:top w:val="none" w:sz="0" w:space="0" w:color="auto"/>
        <w:left w:val="none" w:sz="0" w:space="0" w:color="auto"/>
        <w:bottom w:val="none" w:sz="0" w:space="0" w:color="auto"/>
        <w:right w:val="none" w:sz="0" w:space="0" w:color="auto"/>
      </w:divBdr>
      <w:divsChild>
        <w:div w:id="331688331">
          <w:marLeft w:val="274"/>
          <w:marRight w:val="0"/>
          <w:marTop w:val="0"/>
          <w:marBottom w:val="0"/>
          <w:divBdr>
            <w:top w:val="none" w:sz="0" w:space="0" w:color="auto"/>
            <w:left w:val="none" w:sz="0" w:space="0" w:color="auto"/>
            <w:bottom w:val="none" w:sz="0" w:space="0" w:color="auto"/>
            <w:right w:val="none" w:sz="0" w:space="0" w:color="auto"/>
          </w:divBdr>
        </w:div>
        <w:div w:id="377977030">
          <w:marLeft w:val="274"/>
          <w:marRight w:val="0"/>
          <w:marTop w:val="0"/>
          <w:marBottom w:val="0"/>
          <w:divBdr>
            <w:top w:val="none" w:sz="0" w:space="0" w:color="auto"/>
            <w:left w:val="none" w:sz="0" w:space="0" w:color="auto"/>
            <w:bottom w:val="none" w:sz="0" w:space="0" w:color="auto"/>
            <w:right w:val="none" w:sz="0" w:space="0" w:color="auto"/>
          </w:divBdr>
        </w:div>
        <w:div w:id="1584294337">
          <w:marLeft w:val="274"/>
          <w:marRight w:val="0"/>
          <w:marTop w:val="0"/>
          <w:marBottom w:val="0"/>
          <w:divBdr>
            <w:top w:val="none" w:sz="0" w:space="0" w:color="auto"/>
            <w:left w:val="none" w:sz="0" w:space="0" w:color="auto"/>
            <w:bottom w:val="none" w:sz="0" w:space="0" w:color="auto"/>
            <w:right w:val="none" w:sz="0" w:space="0" w:color="auto"/>
          </w:divBdr>
        </w:div>
      </w:divsChild>
    </w:div>
    <w:div w:id="1098595090">
      <w:bodyDiv w:val="1"/>
      <w:marLeft w:val="0"/>
      <w:marRight w:val="0"/>
      <w:marTop w:val="0"/>
      <w:marBottom w:val="0"/>
      <w:divBdr>
        <w:top w:val="none" w:sz="0" w:space="0" w:color="auto"/>
        <w:left w:val="none" w:sz="0" w:space="0" w:color="auto"/>
        <w:bottom w:val="none" w:sz="0" w:space="0" w:color="auto"/>
        <w:right w:val="none" w:sz="0" w:space="0" w:color="auto"/>
      </w:divBdr>
      <w:divsChild>
        <w:div w:id="57703935">
          <w:marLeft w:val="274"/>
          <w:marRight w:val="0"/>
          <w:marTop w:val="0"/>
          <w:marBottom w:val="0"/>
          <w:divBdr>
            <w:top w:val="none" w:sz="0" w:space="0" w:color="auto"/>
            <w:left w:val="none" w:sz="0" w:space="0" w:color="auto"/>
            <w:bottom w:val="none" w:sz="0" w:space="0" w:color="auto"/>
            <w:right w:val="none" w:sz="0" w:space="0" w:color="auto"/>
          </w:divBdr>
        </w:div>
        <w:div w:id="856964851">
          <w:marLeft w:val="274"/>
          <w:marRight w:val="0"/>
          <w:marTop w:val="0"/>
          <w:marBottom w:val="0"/>
          <w:divBdr>
            <w:top w:val="none" w:sz="0" w:space="0" w:color="auto"/>
            <w:left w:val="none" w:sz="0" w:space="0" w:color="auto"/>
            <w:bottom w:val="none" w:sz="0" w:space="0" w:color="auto"/>
            <w:right w:val="none" w:sz="0" w:space="0" w:color="auto"/>
          </w:divBdr>
        </w:div>
        <w:div w:id="1992245097">
          <w:marLeft w:val="274"/>
          <w:marRight w:val="0"/>
          <w:marTop w:val="0"/>
          <w:marBottom w:val="0"/>
          <w:divBdr>
            <w:top w:val="none" w:sz="0" w:space="0" w:color="auto"/>
            <w:left w:val="none" w:sz="0" w:space="0" w:color="auto"/>
            <w:bottom w:val="none" w:sz="0" w:space="0" w:color="auto"/>
            <w:right w:val="none" w:sz="0" w:space="0" w:color="auto"/>
          </w:divBdr>
        </w:div>
      </w:divsChild>
    </w:div>
    <w:div w:id="1112288018">
      <w:bodyDiv w:val="1"/>
      <w:marLeft w:val="0"/>
      <w:marRight w:val="0"/>
      <w:marTop w:val="0"/>
      <w:marBottom w:val="0"/>
      <w:divBdr>
        <w:top w:val="none" w:sz="0" w:space="0" w:color="auto"/>
        <w:left w:val="none" w:sz="0" w:space="0" w:color="auto"/>
        <w:bottom w:val="none" w:sz="0" w:space="0" w:color="auto"/>
        <w:right w:val="none" w:sz="0" w:space="0" w:color="auto"/>
      </w:divBdr>
      <w:divsChild>
        <w:div w:id="227152984">
          <w:marLeft w:val="274"/>
          <w:marRight w:val="0"/>
          <w:marTop w:val="0"/>
          <w:marBottom w:val="0"/>
          <w:divBdr>
            <w:top w:val="none" w:sz="0" w:space="0" w:color="auto"/>
            <w:left w:val="none" w:sz="0" w:space="0" w:color="auto"/>
            <w:bottom w:val="none" w:sz="0" w:space="0" w:color="auto"/>
            <w:right w:val="none" w:sz="0" w:space="0" w:color="auto"/>
          </w:divBdr>
        </w:div>
        <w:div w:id="2005279993">
          <w:marLeft w:val="274"/>
          <w:marRight w:val="0"/>
          <w:marTop w:val="0"/>
          <w:marBottom w:val="0"/>
          <w:divBdr>
            <w:top w:val="none" w:sz="0" w:space="0" w:color="auto"/>
            <w:left w:val="none" w:sz="0" w:space="0" w:color="auto"/>
            <w:bottom w:val="none" w:sz="0" w:space="0" w:color="auto"/>
            <w:right w:val="none" w:sz="0" w:space="0" w:color="auto"/>
          </w:divBdr>
        </w:div>
        <w:div w:id="240875022">
          <w:marLeft w:val="274"/>
          <w:marRight w:val="0"/>
          <w:marTop w:val="0"/>
          <w:marBottom w:val="0"/>
          <w:divBdr>
            <w:top w:val="none" w:sz="0" w:space="0" w:color="auto"/>
            <w:left w:val="none" w:sz="0" w:space="0" w:color="auto"/>
            <w:bottom w:val="none" w:sz="0" w:space="0" w:color="auto"/>
            <w:right w:val="none" w:sz="0" w:space="0" w:color="auto"/>
          </w:divBdr>
        </w:div>
        <w:div w:id="1216969091">
          <w:marLeft w:val="274"/>
          <w:marRight w:val="0"/>
          <w:marTop w:val="0"/>
          <w:marBottom w:val="0"/>
          <w:divBdr>
            <w:top w:val="none" w:sz="0" w:space="0" w:color="auto"/>
            <w:left w:val="none" w:sz="0" w:space="0" w:color="auto"/>
            <w:bottom w:val="none" w:sz="0" w:space="0" w:color="auto"/>
            <w:right w:val="none" w:sz="0" w:space="0" w:color="auto"/>
          </w:divBdr>
        </w:div>
        <w:div w:id="1950624384">
          <w:marLeft w:val="274"/>
          <w:marRight w:val="0"/>
          <w:marTop w:val="0"/>
          <w:marBottom w:val="0"/>
          <w:divBdr>
            <w:top w:val="none" w:sz="0" w:space="0" w:color="auto"/>
            <w:left w:val="none" w:sz="0" w:space="0" w:color="auto"/>
            <w:bottom w:val="none" w:sz="0" w:space="0" w:color="auto"/>
            <w:right w:val="none" w:sz="0" w:space="0" w:color="auto"/>
          </w:divBdr>
        </w:div>
        <w:div w:id="258489738">
          <w:marLeft w:val="274"/>
          <w:marRight w:val="0"/>
          <w:marTop w:val="0"/>
          <w:marBottom w:val="0"/>
          <w:divBdr>
            <w:top w:val="none" w:sz="0" w:space="0" w:color="auto"/>
            <w:left w:val="none" w:sz="0" w:space="0" w:color="auto"/>
            <w:bottom w:val="none" w:sz="0" w:space="0" w:color="auto"/>
            <w:right w:val="none" w:sz="0" w:space="0" w:color="auto"/>
          </w:divBdr>
        </w:div>
        <w:div w:id="1817336454">
          <w:marLeft w:val="274"/>
          <w:marRight w:val="0"/>
          <w:marTop w:val="0"/>
          <w:marBottom w:val="0"/>
          <w:divBdr>
            <w:top w:val="none" w:sz="0" w:space="0" w:color="auto"/>
            <w:left w:val="none" w:sz="0" w:space="0" w:color="auto"/>
            <w:bottom w:val="none" w:sz="0" w:space="0" w:color="auto"/>
            <w:right w:val="none" w:sz="0" w:space="0" w:color="auto"/>
          </w:divBdr>
        </w:div>
        <w:div w:id="918057727">
          <w:marLeft w:val="274"/>
          <w:marRight w:val="0"/>
          <w:marTop w:val="0"/>
          <w:marBottom w:val="0"/>
          <w:divBdr>
            <w:top w:val="none" w:sz="0" w:space="0" w:color="auto"/>
            <w:left w:val="none" w:sz="0" w:space="0" w:color="auto"/>
            <w:bottom w:val="none" w:sz="0" w:space="0" w:color="auto"/>
            <w:right w:val="none" w:sz="0" w:space="0" w:color="auto"/>
          </w:divBdr>
        </w:div>
        <w:div w:id="1203706631">
          <w:marLeft w:val="274"/>
          <w:marRight w:val="0"/>
          <w:marTop w:val="0"/>
          <w:marBottom w:val="0"/>
          <w:divBdr>
            <w:top w:val="none" w:sz="0" w:space="0" w:color="auto"/>
            <w:left w:val="none" w:sz="0" w:space="0" w:color="auto"/>
            <w:bottom w:val="none" w:sz="0" w:space="0" w:color="auto"/>
            <w:right w:val="none" w:sz="0" w:space="0" w:color="auto"/>
          </w:divBdr>
        </w:div>
        <w:div w:id="1938630217">
          <w:marLeft w:val="274"/>
          <w:marRight w:val="0"/>
          <w:marTop w:val="0"/>
          <w:marBottom w:val="0"/>
          <w:divBdr>
            <w:top w:val="none" w:sz="0" w:space="0" w:color="auto"/>
            <w:left w:val="none" w:sz="0" w:space="0" w:color="auto"/>
            <w:bottom w:val="none" w:sz="0" w:space="0" w:color="auto"/>
            <w:right w:val="none" w:sz="0" w:space="0" w:color="auto"/>
          </w:divBdr>
        </w:div>
      </w:divsChild>
    </w:div>
    <w:div w:id="1122188953">
      <w:bodyDiv w:val="1"/>
      <w:marLeft w:val="0"/>
      <w:marRight w:val="0"/>
      <w:marTop w:val="0"/>
      <w:marBottom w:val="0"/>
      <w:divBdr>
        <w:top w:val="none" w:sz="0" w:space="0" w:color="auto"/>
        <w:left w:val="none" w:sz="0" w:space="0" w:color="auto"/>
        <w:bottom w:val="none" w:sz="0" w:space="0" w:color="auto"/>
        <w:right w:val="none" w:sz="0" w:space="0" w:color="auto"/>
      </w:divBdr>
    </w:div>
    <w:div w:id="1346438438">
      <w:bodyDiv w:val="1"/>
      <w:marLeft w:val="0"/>
      <w:marRight w:val="0"/>
      <w:marTop w:val="0"/>
      <w:marBottom w:val="0"/>
      <w:divBdr>
        <w:top w:val="none" w:sz="0" w:space="0" w:color="auto"/>
        <w:left w:val="none" w:sz="0" w:space="0" w:color="auto"/>
        <w:bottom w:val="none" w:sz="0" w:space="0" w:color="auto"/>
        <w:right w:val="none" w:sz="0" w:space="0" w:color="auto"/>
      </w:divBdr>
    </w:div>
    <w:div w:id="1347295130">
      <w:bodyDiv w:val="1"/>
      <w:marLeft w:val="0"/>
      <w:marRight w:val="0"/>
      <w:marTop w:val="0"/>
      <w:marBottom w:val="0"/>
      <w:divBdr>
        <w:top w:val="none" w:sz="0" w:space="0" w:color="auto"/>
        <w:left w:val="none" w:sz="0" w:space="0" w:color="auto"/>
        <w:bottom w:val="none" w:sz="0" w:space="0" w:color="auto"/>
        <w:right w:val="none" w:sz="0" w:space="0" w:color="auto"/>
      </w:divBdr>
      <w:divsChild>
        <w:div w:id="891111424">
          <w:marLeft w:val="0"/>
          <w:marRight w:val="0"/>
          <w:marTop w:val="0"/>
          <w:marBottom w:val="0"/>
          <w:divBdr>
            <w:top w:val="none" w:sz="0" w:space="0" w:color="auto"/>
            <w:left w:val="none" w:sz="0" w:space="0" w:color="auto"/>
            <w:bottom w:val="none" w:sz="0" w:space="0" w:color="auto"/>
            <w:right w:val="none" w:sz="0" w:space="0" w:color="auto"/>
          </w:divBdr>
        </w:div>
      </w:divsChild>
    </w:div>
    <w:div w:id="1367829977">
      <w:bodyDiv w:val="1"/>
      <w:marLeft w:val="0"/>
      <w:marRight w:val="0"/>
      <w:marTop w:val="0"/>
      <w:marBottom w:val="0"/>
      <w:divBdr>
        <w:top w:val="none" w:sz="0" w:space="0" w:color="auto"/>
        <w:left w:val="none" w:sz="0" w:space="0" w:color="auto"/>
        <w:bottom w:val="none" w:sz="0" w:space="0" w:color="auto"/>
        <w:right w:val="none" w:sz="0" w:space="0" w:color="auto"/>
      </w:divBdr>
      <w:divsChild>
        <w:div w:id="411512086">
          <w:marLeft w:val="274"/>
          <w:marRight w:val="0"/>
          <w:marTop w:val="0"/>
          <w:marBottom w:val="0"/>
          <w:divBdr>
            <w:top w:val="none" w:sz="0" w:space="0" w:color="auto"/>
            <w:left w:val="none" w:sz="0" w:space="0" w:color="auto"/>
            <w:bottom w:val="none" w:sz="0" w:space="0" w:color="auto"/>
            <w:right w:val="none" w:sz="0" w:space="0" w:color="auto"/>
          </w:divBdr>
        </w:div>
        <w:div w:id="1854685100">
          <w:marLeft w:val="274"/>
          <w:marRight w:val="0"/>
          <w:marTop w:val="0"/>
          <w:marBottom w:val="0"/>
          <w:divBdr>
            <w:top w:val="none" w:sz="0" w:space="0" w:color="auto"/>
            <w:left w:val="none" w:sz="0" w:space="0" w:color="auto"/>
            <w:bottom w:val="none" w:sz="0" w:space="0" w:color="auto"/>
            <w:right w:val="none" w:sz="0" w:space="0" w:color="auto"/>
          </w:divBdr>
        </w:div>
      </w:divsChild>
    </w:div>
    <w:div w:id="1368679241">
      <w:bodyDiv w:val="1"/>
      <w:marLeft w:val="0"/>
      <w:marRight w:val="0"/>
      <w:marTop w:val="0"/>
      <w:marBottom w:val="0"/>
      <w:divBdr>
        <w:top w:val="none" w:sz="0" w:space="0" w:color="auto"/>
        <w:left w:val="none" w:sz="0" w:space="0" w:color="auto"/>
        <w:bottom w:val="none" w:sz="0" w:space="0" w:color="auto"/>
        <w:right w:val="none" w:sz="0" w:space="0" w:color="auto"/>
      </w:divBdr>
    </w:div>
    <w:div w:id="1461611325">
      <w:bodyDiv w:val="1"/>
      <w:marLeft w:val="0"/>
      <w:marRight w:val="0"/>
      <w:marTop w:val="0"/>
      <w:marBottom w:val="0"/>
      <w:divBdr>
        <w:top w:val="none" w:sz="0" w:space="0" w:color="auto"/>
        <w:left w:val="none" w:sz="0" w:space="0" w:color="auto"/>
        <w:bottom w:val="none" w:sz="0" w:space="0" w:color="auto"/>
        <w:right w:val="none" w:sz="0" w:space="0" w:color="auto"/>
      </w:divBdr>
    </w:div>
    <w:div w:id="1479221912">
      <w:bodyDiv w:val="1"/>
      <w:marLeft w:val="0"/>
      <w:marRight w:val="0"/>
      <w:marTop w:val="0"/>
      <w:marBottom w:val="0"/>
      <w:divBdr>
        <w:top w:val="none" w:sz="0" w:space="0" w:color="auto"/>
        <w:left w:val="none" w:sz="0" w:space="0" w:color="auto"/>
        <w:bottom w:val="none" w:sz="0" w:space="0" w:color="auto"/>
        <w:right w:val="none" w:sz="0" w:space="0" w:color="auto"/>
      </w:divBdr>
    </w:div>
    <w:div w:id="1528257825">
      <w:bodyDiv w:val="1"/>
      <w:marLeft w:val="0"/>
      <w:marRight w:val="0"/>
      <w:marTop w:val="0"/>
      <w:marBottom w:val="0"/>
      <w:divBdr>
        <w:top w:val="none" w:sz="0" w:space="0" w:color="auto"/>
        <w:left w:val="none" w:sz="0" w:space="0" w:color="auto"/>
        <w:bottom w:val="none" w:sz="0" w:space="0" w:color="auto"/>
        <w:right w:val="none" w:sz="0" w:space="0" w:color="auto"/>
      </w:divBdr>
    </w:div>
    <w:div w:id="1542085023">
      <w:bodyDiv w:val="1"/>
      <w:marLeft w:val="0"/>
      <w:marRight w:val="0"/>
      <w:marTop w:val="0"/>
      <w:marBottom w:val="0"/>
      <w:divBdr>
        <w:top w:val="none" w:sz="0" w:space="0" w:color="auto"/>
        <w:left w:val="none" w:sz="0" w:space="0" w:color="auto"/>
        <w:bottom w:val="none" w:sz="0" w:space="0" w:color="auto"/>
        <w:right w:val="none" w:sz="0" w:space="0" w:color="auto"/>
      </w:divBdr>
      <w:divsChild>
        <w:div w:id="29230710">
          <w:marLeft w:val="274"/>
          <w:marRight w:val="0"/>
          <w:marTop w:val="0"/>
          <w:marBottom w:val="0"/>
          <w:divBdr>
            <w:top w:val="none" w:sz="0" w:space="0" w:color="auto"/>
            <w:left w:val="none" w:sz="0" w:space="0" w:color="auto"/>
            <w:bottom w:val="none" w:sz="0" w:space="0" w:color="auto"/>
            <w:right w:val="none" w:sz="0" w:space="0" w:color="auto"/>
          </w:divBdr>
        </w:div>
        <w:div w:id="2088920739">
          <w:marLeft w:val="274"/>
          <w:marRight w:val="0"/>
          <w:marTop w:val="0"/>
          <w:marBottom w:val="0"/>
          <w:divBdr>
            <w:top w:val="none" w:sz="0" w:space="0" w:color="auto"/>
            <w:left w:val="none" w:sz="0" w:space="0" w:color="auto"/>
            <w:bottom w:val="none" w:sz="0" w:space="0" w:color="auto"/>
            <w:right w:val="none" w:sz="0" w:space="0" w:color="auto"/>
          </w:divBdr>
        </w:div>
        <w:div w:id="1600260088">
          <w:marLeft w:val="274"/>
          <w:marRight w:val="0"/>
          <w:marTop w:val="0"/>
          <w:marBottom w:val="0"/>
          <w:divBdr>
            <w:top w:val="none" w:sz="0" w:space="0" w:color="auto"/>
            <w:left w:val="none" w:sz="0" w:space="0" w:color="auto"/>
            <w:bottom w:val="none" w:sz="0" w:space="0" w:color="auto"/>
            <w:right w:val="none" w:sz="0" w:space="0" w:color="auto"/>
          </w:divBdr>
        </w:div>
        <w:div w:id="1910336543">
          <w:marLeft w:val="274"/>
          <w:marRight w:val="0"/>
          <w:marTop w:val="0"/>
          <w:marBottom w:val="0"/>
          <w:divBdr>
            <w:top w:val="none" w:sz="0" w:space="0" w:color="auto"/>
            <w:left w:val="none" w:sz="0" w:space="0" w:color="auto"/>
            <w:bottom w:val="none" w:sz="0" w:space="0" w:color="auto"/>
            <w:right w:val="none" w:sz="0" w:space="0" w:color="auto"/>
          </w:divBdr>
        </w:div>
        <w:div w:id="824009226">
          <w:marLeft w:val="274"/>
          <w:marRight w:val="0"/>
          <w:marTop w:val="0"/>
          <w:marBottom w:val="0"/>
          <w:divBdr>
            <w:top w:val="none" w:sz="0" w:space="0" w:color="auto"/>
            <w:left w:val="none" w:sz="0" w:space="0" w:color="auto"/>
            <w:bottom w:val="none" w:sz="0" w:space="0" w:color="auto"/>
            <w:right w:val="none" w:sz="0" w:space="0" w:color="auto"/>
          </w:divBdr>
        </w:div>
        <w:div w:id="1868255813">
          <w:marLeft w:val="274"/>
          <w:marRight w:val="0"/>
          <w:marTop w:val="0"/>
          <w:marBottom w:val="0"/>
          <w:divBdr>
            <w:top w:val="none" w:sz="0" w:space="0" w:color="auto"/>
            <w:left w:val="none" w:sz="0" w:space="0" w:color="auto"/>
            <w:bottom w:val="none" w:sz="0" w:space="0" w:color="auto"/>
            <w:right w:val="none" w:sz="0" w:space="0" w:color="auto"/>
          </w:divBdr>
        </w:div>
        <w:div w:id="1516190678">
          <w:marLeft w:val="274"/>
          <w:marRight w:val="0"/>
          <w:marTop w:val="0"/>
          <w:marBottom w:val="0"/>
          <w:divBdr>
            <w:top w:val="none" w:sz="0" w:space="0" w:color="auto"/>
            <w:left w:val="none" w:sz="0" w:space="0" w:color="auto"/>
            <w:bottom w:val="none" w:sz="0" w:space="0" w:color="auto"/>
            <w:right w:val="none" w:sz="0" w:space="0" w:color="auto"/>
          </w:divBdr>
        </w:div>
        <w:div w:id="10422653">
          <w:marLeft w:val="274"/>
          <w:marRight w:val="0"/>
          <w:marTop w:val="0"/>
          <w:marBottom w:val="0"/>
          <w:divBdr>
            <w:top w:val="none" w:sz="0" w:space="0" w:color="auto"/>
            <w:left w:val="none" w:sz="0" w:space="0" w:color="auto"/>
            <w:bottom w:val="none" w:sz="0" w:space="0" w:color="auto"/>
            <w:right w:val="none" w:sz="0" w:space="0" w:color="auto"/>
          </w:divBdr>
        </w:div>
        <w:div w:id="697462576">
          <w:marLeft w:val="274"/>
          <w:marRight w:val="0"/>
          <w:marTop w:val="0"/>
          <w:marBottom w:val="0"/>
          <w:divBdr>
            <w:top w:val="none" w:sz="0" w:space="0" w:color="auto"/>
            <w:left w:val="none" w:sz="0" w:space="0" w:color="auto"/>
            <w:bottom w:val="none" w:sz="0" w:space="0" w:color="auto"/>
            <w:right w:val="none" w:sz="0" w:space="0" w:color="auto"/>
          </w:divBdr>
        </w:div>
        <w:div w:id="350882198">
          <w:marLeft w:val="274"/>
          <w:marRight w:val="0"/>
          <w:marTop w:val="0"/>
          <w:marBottom w:val="0"/>
          <w:divBdr>
            <w:top w:val="none" w:sz="0" w:space="0" w:color="auto"/>
            <w:left w:val="none" w:sz="0" w:space="0" w:color="auto"/>
            <w:bottom w:val="none" w:sz="0" w:space="0" w:color="auto"/>
            <w:right w:val="none" w:sz="0" w:space="0" w:color="auto"/>
          </w:divBdr>
        </w:div>
      </w:divsChild>
    </w:div>
    <w:div w:id="1542128233">
      <w:bodyDiv w:val="1"/>
      <w:marLeft w:val="0"/>
      <w:marRight w:val="0"/>
      <w:marTop w:val="0"/>
      <w:marBottom w:val="0"/>
      <w:divBdr>
        <w:top w:val="none" w:sz="0" w:space="0" w:color="auto"/>
        <w:left w:val="none" w:sz="0" w:space="0" w:color="auto"/>
        <w:bottom w:val="none" w:sz="0" w:space="0" w:color="auto"/>
        <w:right w:val="none" w:sz="0" w:space="0" w:color="auto"/>
      </w:divBdr>
      <w:divsChild>
        <w:div w:id="1826703867">
          <w:marLeft w:val="274"/>
          <w:marRight w:val="0"/>
          <w:marTop w:val="0"/>
          <w:marBottom w:val="0"/>
          <w:divBdr>
            <w:top w:val="none" w:sz="0" w:space="0" w:color="auto"/>
            <w:left w:val="none" w:sz="0" w:space="0" w:color="auto"/>
            <w:bottom w:val="none" w:sz="0" w:space="0" w:color="auto"/>
            <w:right w:val="none" w:sz="0" w:space="0" w:color="auto"/>
          </w:divBdr>
        </w:div>
        <w:div w:id="1552576489">
          <w:marLeft w:val="274"/>
          <w:marRight w:val="0"/>
          <w:marTop w:val="0"/>
          <w:marBottom w:val="0"/>
          <w:divBdr>
            <w:top w:val="none" w:sz="0" w:space="0" w:color="auto"/>
            <w:left w:val="none" w:sz="0" w:space="0" w:color="auto"/>
            <w:bottom w:val="none" w:sz="0" w:space="0" w:color="auto"/>
            <w:right w:val="none" w:sz="0" w:space="0" w:color="auto"/>
          </w:divBdr>
        </w:div>
        <w:div w:id="645550421">
          <w:marLeft w:val="274"/>
          <w:marRight w:val="0"/>
          <w:marTop w:val="0"/>
          <w:marBottom w:val="0"/>
          <w:divBdr>
            <w:top w:val="none" w:sz="0" w:space="0" w:color="auto"/>
            <w:left w:val="none" w:sz="0" w:space="0" w:color="auto"/>
            <w:bottom w:val="none" w:sz="0" w:space="0" w:color="auto"/>
            <w:right w:val="none" w:sz="0" w:space="0" w:color="auto"/>
          </w:divBdr>
        </w:div>
      </w:divsChild>
    </w:div>
    <w:div w:id="1547646527">
      <w:bodyDiv w:val="1"/>
      <w:marLeft w:val="0"/>
      <w:marRight w:val="0"/>
      <w:marTop w:val="0"/>
      <w:marBottom w:val="0"/>
      <w:divBdr>
        <w:top w:val="none" w:sz="0" w:space="0" w:color="auto"/>
        <w:left w:val="none" w:sz="0" w:space="0" w:color="auto"/>
        <w:bottom w:val="none" w:sz="0" w:space="0" w:color="auto"/>
        <w:right w:val="none" w:sz="0" w:space="0" w:color="auto"/>
      </w:divBdr>
    </w:div>
    <w:div w:id="1647394987">
      <w:bodyDiv w:val="1"/>
      <w:marLeft w:val="0"/>
      <w:marRight w:val="0"/>
      <w:marTop w:val="0"/>
      <w:marBottom w:val="0"/>
      <w:divBdr>
        <w:top w:val="none" w:sz="0" w:space="0" w:color="auto"/>
        <w:left w:val="none" w:sz="0" w:space="0" w:color="auto"/>
        <w:bottom w:val="none" w:sz="0" w:space="0" w:color="auto"/>
        <w:right w:val="none" w:sz="0" w:space="0" w:color="auto"/>
      </w:divBdr>
    </w:div>
    <w:div w:id="1713990909">
      <w:bodyDiv w:val="1"/>
      <w:marLeft w:val="0"/>
      <w:marRight w:val="0"/>
      <w:marTop w:val="0"/>
      <w:marBottom w:val="0"/>
      <w:divBdr>
        <w:top w:val="none" w:sz="0" w:space="0" w:color="auto"/>
        <w:left w:val="none" w:sz="0" w:space="0" w:color="auto"/>
        <w:bottom w:val="none" w:sz="0" w:space="0" w:color="auto"/>
        <w:right w:val="none" w:sz="0" w:space="0" w:color="auto"/>
      </w:divBdr>
    </w:div>
    <w:div w:id="1747066768">
      <w:bodyDiv w:val="1"/>
      <w:marLeft w:val="0"/>
      <w:marRight w:val="0"/>
      <w:marTop w:val="0"/>
      <w:marBottom w:val="0"/>
      <w:divBdr>
        <w:top w:val="none" w:sz="0" w:space="0" w:color="auto"/>
        <w:left w:val="none" w:sz="0" w:space="0" w:color="auto"/>
        <w:bottom w:val="none" w:sz="0" w:space="0" w:color="auto"/>
        <w:right w:val="none" w:sz="0" w:space="0" w:color="auto"/>
      </w:divBdr>
    </w:div>
    <w:div w:id="1798984975">
      <w:bodyDiv w:val="1"/>
      <w:marLeft w:val="0"/>
      <w:marRight w:val="0"/>
      <w:marTop w:val="0"/>
      <w:marBottom w:val="0"/>
      <w:divBdr>
        <w:top w:val="none" w:sz="0" w:space="0" w:color="auto"/>
        <w:left w:val="none" w:sz="0" w:space="0" w:color="auto"/>
        <w:bottom w:val="none" w:sz="0" w:space="0" w:color="auto"/>
        <w:right w:val="none" w:sz="0" w:space="0" w:color="auto"/>
      </w:divBdr>
    </w:div>
    <w:div w:id="1909805284">
      <w:bodyDiv w:val="1"/>
      <w:marLeft w:val="0"/>
      <w:marRight w:val="0"/>
      <w:marTop w:val="0"/>
      <w:marBottom w:val="0"/>
      <w:divBdr>
        <w:top w:val="none" w:sz="0" w:space="0" w:color="auto"/>
        <w:left w:val="none" w:sz="0" w:space="0" w:color="auto"/>
        <w:bottom w:val="none" w:sz="0" w:space="0" w:color="auto"/>
        <w:right w:val="none" w:sz="0" w:space="0" w:color="auto"/>
      </w:divBdr>
    </w:div>
    <w:div w:id="1920092181">
      <w:bodyDiv w:val="1"/>
      <w:marLeft w:val="0"/>
      <w:marRight w:val="0"/>
      <w:marTop w:val="0"/>
      <w:marBottom w:val="0"/>
      <w:divBdr>
        <w:top w:val="none" w:sz="0" w:space="0" w:color="auto"/>
        <w:left w:val="none" w:sz="0" w:space="0" w:color="auto"/>
        <w:bottom w:val="none" w:sz="0" w:space="0" w:color="auto"/>
        <w:right w:val="none" w:sz="0" w:space="0" w:color="auto"/>
      </w:divBdr>
    </w:div>
    <w:div w:id="1944221164">
      <w:bodyDiv w:val="1"/>
      <w:marLeft w:val="0"/>
      <w:marRight w:val="0"/>
      <w:marTop w:val="0"/>
      <w:marBottom w:val="0"/>
      <w:divBdr>
        <w:top w:val="none" w:sz="0" w:space="0" w:color="auto"/>
        <w:left w:val="none" w:sz="0" w:space="0" w:color="auto"/>
        <w:bottom w:val="none" w:sz="0" w:space="0" w:color="auto"/>
        <w:right w:val="none" w:sz="0" w:space="0" w:color="auto"/>
      </w:divBdr>
    </w:div>
    <w:div w:id="1980576862">
      <w:bodyDiv w:val="1"/>
      <w:marLeft w:val="0"/>
      <w:marRight w:val="0"/>
      <w:marTop w:val="0"/>
      <w:marBottom w:val="0"/>
      <w:divBdr>
        <w:top w:val="none" w:sz="0" w:space="0" w:color="auto"/>
        <w:left w:val="none" w:sz="0" w:space="0" w:color="auto"/>
        <w:bottom w:val="none" w:sz="0" w:space="0" w:color="auto"/>
        <w:right w:val="none" w:sz="0" w:space="0" w:color="auto"/>
      </w:divBdr>
    </w:div>
    <w:div w:id="2007587636">
      <w:bodyDiv w:val="1"/>
      <w:marLeft w:val="0"/>
      <w:marRight w:val="0"/>
      <w:marTop w:val="0"/>
      <w:marBottom w:val="0"/>
      <w:divBdr>
        <w:top w:val="none" w:sz="0" w:space="0" w:color="auto"/>
        <w:left w:val="none" w:sz="0" w:space="0" w:color="auto"/>
        <w:bottom w:val="none" w:sz="0" w:space="0" w:color="auto"/>
        <w:right w:val="none" w:sz="0" w:space="0" w:color="auto"/>
      </w:divBdr>
    </w:div>
    <w:div w:id="2084906757">
      <w:bodyDiv w:val="1"/>
      <w:marLeft w:val="0"/>
      <w:marRight w:val="0"/>
      <w:marTop w:val="0"/>
      <w:marBottom w:val="0"/>
      <w:divBdr>
        <w:top w:val="none" w:sz="0" w:space="0" w:color="auto"/>
        <w:left w:val="none" w:sz="0" w:space="0" w:color="auto"/>
        <w:bottom w:val="none" w:sz="0" w:space="0" w:color="auto"/>
        <w:right w:val="none" w:sz="0" w:space="0" w:color="auto"/>
      </w:divBdr>
    </w:div>
    <w:div w:id="2086606311">
      <w:bodyDiv w:val="1"/>
      <w:marLeft w:val="0"/>
      <w:marRight w:val="0"/>
      <w:marTop w:val="0"/>
      <w:marBottom w:val="0"/>
      <w:divBdr>
        <w:top w:val="none" w:sz="0" w:space="0" w:color="auto"/>
        <w:left w:val="none" w:sz="0" w:space="0" w:color="auto"/>
        <w:bottom w:val="none" w:sz="0" w:space="0" w:color="auto"/>
        <w:right w:val="none" w:sz="0" w:space="0" w:color="auto"/>
      </w:divBdr>
      <w:divsChild>
        <w:div w:id="709039716">
          <w:marLeft w:val="0"/>
          <w:marRight w:val="0"/>
          <w:marTop w:val="0"/>
          <w:marBottom w:val="0"/>
          <w:divBdr>
            <w:top w:val="none" w:sz="0" w:space="0" w:color="auto"/>
            <w:left w:val="none" w:sz="0" w:space="0" w:color="auto"/>
            <w:bottom w:val="none" w:sz="0" w:space="0" w:color="auto"/>
            <w:right w:val="none" w:sz="0" w:space="0" w:color="auto"/>
          </w:divBdr>
        </w:div>
      </w:divsChild>
    </w:div>
    <w:div w:id="2102948355">
      <w:bodyDiv w:val="1"/>
      <w:marLeft w:val="0"/>
      <w:marRight w:val="0"/>
      <w:marTop w:val="0"/>
      <w:marBottom w:val="0"/>
      <w:divBdr>
        <w:top w:val="none" w:sz="0" w:space="0" w:color="auto"/>
        <w:left w:val="none" w:sz="0" w:space="0" w:color="auto"/>
        <w:bottom w:val="none" w:sz="0" w:space="0" w:color="auto"/>
        <w:right w:val="none" w:sz="0" w:space="0" w:color="auto"/>
      </w:divBdr>
      <w:divsChild>
        <w:div w:id="1194729595">
          <w:marLeft w:val="0"/>
          <w:marRight w:val="0"/>
          <w:marTop w:val="0"/>
          <w:marBottom w:val="120"/>
          <w:divBdr>
            <w:top w:val="none" w:sz="0" w:space="0" w:color="auto"/>
            <w:left w:val="none" w:sz="0" w:space="0" w:color="auto"/>
            <w:bottom w:val="none" w:sz="0" w:space="0" w:color="auto"/>
            <w:right w:val="none" w:sz="0" w:space="0" w:color="auto"/>
          </w:divBdr>
        </w:div>
        <w:div w:id="1281568863">
          <w:marLeft w:val="0"/>
          <w:marRight w:val="0"/>
          <w:marTop w:val="0"/>
          <w:marBottom w:val="180"/>
          <w:divBdr>
            <w:top w:val="none" w:sz="0" w:space="0" w:color="auto"/>
            <w:left w:val="none" w:sz="0" w:space="0" w:color="auto"/>
            <w:bottom w:val="none" w:sz="0" w:space="0" w:color="auto"/>
            <w:right w:val="none" w:sz="0" w:space="0" w:color="auto"/>
          </w:divBdr>
        </w:div>
        <w:div w:id="889194714">
          <w:marLeft w:val="0"/>
          <w:marRight w:val="0"/>
          <w:marTop w:val="0"/>
          <w:marBottom w:val="240"/>
          <w:divBdr>
            <w:top w:val="none" w:sz="0" w:space="0" w:color="auto"/>
            <w:left w:val="none" w:sz="0" w:space="0" w:color="auto"/>
            <w:bottom w:val="none" w:sz="0" w:space="0" w:color="auto"/>
            <w:right w:val="none" w:sz="0" w:space="0" w:color="auto"/>
          </w:divBdr>
        </w:div>
        <w:div w:id="1487240065">
          <w:marLeft w:val="0"/>
          <w:marRight w:val="0"/>
          <w:marTop w:val="0"/>
          <w:marBottom w:val="180"/>
          <w:divBdr>
            <w:top w:val="none" w:sz="0" w:space="0" w:color="auto"/>
            <w:left w:val="none" w:sz="0" w:space="0" w:color="auto"/>
            <w:bottom w:val="none" w:sz="0" w:space="0" w:color="auto"/>
            <w:right w:val="none" w:sz="0" w:space="0" w:color="auto"/>
          </w:divBdr>
        </w:div>
        <w:div w:id="1940943316">
          <w:marLeft w:val="0"/>
          <w:marRight w:val="0"/>
          <w:marTop w:val="0"/>
          <w:marBottom w:val="240"/>
          <w:divBdr>
            <w:top w:val="none" w:sz="0" w:space="0" w:color="auto"/>
            <w:left w:val="none" w:sz="0" w:space="0" w:color="auto"/>
            <w:bottom w:val="none" w:sz="0" w:space="0" w:color="auto"/>
            <w:right w:val="none" w:sz="0" w:space="0" w:color="auto"/>
          </w:divBdr>
        </w:div>
      </w:divsChild>
    </w:div>
    <w:div w:id="2114745109">
      <w:bodyDiv w:val="1"/>
      <w:marLeft w:val="0"/>
      <w:marRight w:val="0"/>
      <w:marTop w:val="0"/>
      <w:marBottom w:val="0"/>
      <w:divBdr>
        <w:top w:val="none" w:sz="0" w:space="0" w:color="auto"/>
        <w:left w:val="none" w:sz="0" w:space="0" w:color="auto"/>
        <w:bottom w:val="none" w:sz="0" w:space="0" w:color="auto"/>
        <w:right w:val="none" w:sz="0" w:space="0" w:color="auto"/>
      </w:divBdr>
    </w:div>
    <w:div w:id="2115175763">
      <w:bodyDiv w:val="1"/>
      <w:marLeft w:val="0"/>
      <w:marRight w:val="0"/>
      <w:marTop w:val="0"/>
      <w:marBottom w:val="0"/>
      <w:divBdr>
        <w:top w:val="none" w:sz="0" w:space="0" w:color="auto"/>
        <w:left w:val="none" w:sz="0" w:space="0" w:color="auto"/>
        <w:bottom w:val="none" w:sz="0" w:space="0" w:color="auto"/>
        <w:right w:val="none" w:sz="0" w:space="0" w:color="auto"/>
      </w:divBdr>
    </w:div>
    <w:div w:id="2142796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ourism.research@tra.gov.au" TargetMode="External"/><Relationship Id="rId18" Type="http://schemas.openxmlformats.org/officeDocument/2006/relationships/hyperlink" Target="file:///C:/Users/corrine-rose/AppData/Local/Microsoft/Windows/INetCache/Content.Outlook/2Z3XW8LL/pmc.gov.au/%20government/commonwealth-coat-arms" TargetMode="External"/><Relationship Id="rId26" Type="http://schemas.openxmlformats.org/officeDocument/2006/relationships/image" Target="media/image10.png"/><Relationship Id="rId39" Type="http://schemas.openxmlformats.org/officeDocument/2006/relationships/header" Target="header2.xml"/><Relationship Id="rId21" Type="http://schemas.openxmlformats.org/officeDocument/2006/relationships/image" Target="media/image5.png"/><Relationship Id="rId34" Type="http://schemas.openxmlformats.org/officeDocument/2006/relationships/hyperlink" Target="https://www.tourism.australia.com/en/about/industry-sectors/accessible-tourism.html" TargetMode="External"/><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tourism.research@tra.gov.au"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chart" Target="charts/chart1.xml"/><Relationship Id="rId37" Type="http://schemas.openxmlformats.org/officeDocument/2006/relationships/hyperlink" Target="https://www.austrade.gov.au/en/news-and-analysis/publications-and-reports/welcome-framework"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tra.gov.au/en/economic-analysis/annual-benchmark-report"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www.abs.gov.au/statistics/people/population/national-state-and-territory-population/latest-release"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ra.gov.au"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www.tourism.australia.com/en/about/industry-sectors/accessible-tourism.html" TargetMode="External"/><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mailto:advisory@austrade.gov.au" TargetMode="Externa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header" Target="header1.xml"/><Relationship Id="rId20" Type="http://schemas.openxmlformats.org/officeDocument/2006/relationships/image" Target="media/image4.png"/><Relationship Id="rId41"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ustrade\Corporate%20Templates\Website\Austrade%20Brand\TRA%20Website%20Publications.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322209649952946"/>
          <c:y val="2.5974025974025976E-2"/>
          <c:w val="0.689861948491583"/>
          <c:h val="0.84235652361636615"/>
        </c:manualLayout>
      </c:layout>
      <c:barChart>
        <c:barDir val="col"/>
        <c:grouping val="percentStacked"/>
        <c:varyColors val="0"/>
        <c:ser>
          <c:idx val="0"/>
          <c:order val="0"/>
          <c:tx>
            <c:strRef>
              <c:f>Sheet1!$B$1</c:f>
              <c:strCache>
                <c:ptCount val="1"/>
                <c:pt idx="0">
                  <c:v>Extremely inaccessible</c:v>
                </c:pt>
              </c:strCache>
            </c:strRef>
          </c:tx>
          <c:spPr>
            <a:solidFill>
              <a:schemeClr val="accent4">
                <a:lumMod val="75000"/>
              </a:schemeClr>
            </a:solidFill>
            <a:ln>
              <a:noFill/>
            </a:ln>
            <a:effectLst/>
          </c:spPr>
          <c:invertIfNegative val="0"/>
          <c:dLbls>
            <c:delete val="1"/>
          </c:dLbls>
          <c:cat>
            <c:strRef>
              <c:f>Sheet1!$A$2:$A$8</c:f>
              <c:strCache>
                <c:ptCount val="7"/>
                <c:pt idx="0">
                  <c:v>Australia</c:v>
                </c:pt>
                <c:pt idx="1">
                  <c:v>Japan</c:v>
                </c:pt>
                <c:pt idx="2">
                  <c:v>Canada</c:v>
                </c:pt>
                <c:pt idx="3">
                  <c:v>New Zealand</c:v>
                </c:pt>
                <c:pt idx="4">
                  <c:v>Italy</c:v>
                </c:pt>
                <c:pt idx="5">
                  <c:v>Hawaii</c:v>
                </c:pt>
                <c:pt idx="6">
                  <c:v>Thailand</c:v>
                </c:pt>
              </c:strCache>
            </c:strRef>
          </c:cat>
          <c:val>
            <c:numRef>
              <c:f>Sheet1!$B$2:$B$8</c:f>
              <c:numCache>
                <c:formatCode>General</c:formatCode>
                <c:ptCount val="7"/>
                <c:pt idx="0">
                  <c:v>1</c:v>
                </c:pt>
                <c:pt idx="1">
                  <c:v>1</c:v>
                </c:pt>
                <c:pt idx="2">
                  <c:v>1</c:v>
                </c:pt>
                <c:pt idx="3">
                  <c:v>2</c:v>
                </c:pt>
                <c:pt idx="4">
                  <c:v>1</c:v>
                </c:pt>
                <c:pt idx="5">
                  <c:v>1</c:v>
                </c:pt>
                <c:pt idx="6">
                  <c:v>2</c:v>
                </c:pt>
              </c:numCache>
            </c:numRef>
          </c:val>
          <c:extLst>
            <c:ext xmlns:c16="http://schemas.microsoft.com/office/drawing/2014/chart" uri="{C3380CC4-5D6E-409C-BE32-E72D297353CC}">
              <c16:uniqueId val="{00000000-62A4-4676-B434-11245D374BF1}"/>
            </c:ext>
          </c:extLst>
        </c:ser>
        <c:ser>
          <c:idx val="1"/>
          <c:order val="1"/>
          <c:tx>
            <c:strRef>
              <c:f>Sheet1!$C$1</c:f>
              <c:strCache>
                <c:ptCount val="1"/>
                <c:pt idx="0">
                  <c:v>Inaccessible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Australia</c:v>
                </c:pt>
                <c:pt idx="1">
                  <c:v>Japan</c:v>
                </c:pt>
                <c:pt idx="2">
                  <c:v>Canada</c:v>
                </c:pt>
                <c:pt idx="3">
                  <c:v>New Zealand</c:v>
                </c:pt>
                <c:pt idx="4">
                  <c:v>Italy</c:v>
                </c:pt>
                <c:pt idx="5">
                  <c:v>Hawaii</c:v>
                </c:pt>
                <c:pt idx="6">
                  <c:v>Thailand</c:v>
                </c:pt>
              </c:strCache>
            </c:strRef>
          </c:cat>
          <c:val>
            <c:numRef>
              <c:f>Sheet1!$C$2:$C$8</c:f>
              <c:numCache>
                <c:formatCode>General</c:formatCode>
                <c:ptCount val="7"/>
                <c:pt idx="0">
                  <c:v>2</c:v>
                </c:pt>
                <c:pt idx="1">
                  <c:v>2</c:v>
                </c:pt>
                <c:pt idx="2">
                  <c:v>2</c:v>
                </c:pt>
                <c:pt idx="3">
                  <c:v>2</c:v>
                </c:pt>
                <c:pt idx="4">
                  <c:v>4</c:v>
                </c:pt>
                <c:pt idx="5">
                  <c:v>4</c:v>
                </c:pt>
                <c:pt idx="6">
                  <c:v>6</c:v>
                </c:pt>
              </c:numCache>
            </c:numRef>
          </c:val>
          <c:extLst>
            <c:ext xmlns:c16="http://schemas.microsoft.com/office/drawing/2014/chart" uri="{C3380CC4-5D6E-409C-BE32-E72D297353CC}">
              <c16:uniqueId val="{00000001-62A4-4676-B434-11245D374BF1}"/>
            </c:ext>
          </c:extLst>
        </c:ser>
        <c:ser>
          <c:idx val="2"/>
          <c:order val="2"/>
          <c:tx>
            <c:strRef>
              <c:f>Sheet1!$D$1</c:f>
              <c:strCache>
                <c:ptCount val="1"/>
                <c:pt idx="0">
                  <c:v>Neither</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Australia</c:v>
                </c:pt>
                <c:pt idx="1">
                  <c:v>Japan</c:v>
                </c:pt>
                <c:pt idx="2">
                  <c:v>Canada</c:v>
                </c:pt>
                <c:pt idx="3">
                  <c:v>New Zealand</c:v>
                </c:pt>
                <c:pt idx="4">
                  <c:v>Italy</c:v>
                </c:pt>
                <c:pt idx="5">
                  <c:v>Hawaii</c:v>
                </c:pt>
                <c:pt idx="6">
                  <c:v>Thailand</c:v>
                </c:pt>
              </c:strCache>
            </c:strRef>
          </c:cat>
          <c:val>
            <c:numRef>
              <c:f>Sheet1!$D$2:$D$8</c:f>
              <c:numCache>
                <c:formatCode>General</c:formatCode>
                <c:ptCount val="7"/>
                <c:pt idx="0">
                  <c:v>15</c:v>
                </c:pt>
                <c:pt idx="1">
                  <c:v>17</c:v>
                </c:pt>
                <c:pt idx="2">
                  <c:v>18</c:v>
                </c:pt>
                <c:pt idx="3">
                  <c:v>19</c:v>
                </c:pt>
                <c:pt idx="4">
                  <c:v>27</c:v>
                </c:pt>
                <c:pt idx="5">
                  <c:v>28</c:v>
                </c:pt>
                <c:pt idx="6">
                  <c:v>30</c:v>
                </c:pt>
              </c:numCache>
            </c:numRef>
          </c:val>
          <c:extLst>
            <c:ext xmlns:c16="http://schemas.microsoft.com/office/drawing/2014/chart" uri="{C3380CC4-5D6E-409C-BE32-E72D297353CC}">
              <c16:uniqueId val="{00000002-62A4-4676-B434-11245D374BF1}"/>
            </c:ext>
          </c:extLst>
        </c:ser>
        <c:ser>
          <c:idx val="3"/>
          <c:order val="3"/>
          <c:tx>
            <c:strRef>
              <c:f>Sheet1!$E$1</c:f>
              <c:strCache>
                <c:ptCount val="1"/>
                <c:pt idx="0">
                  <c:v>Accessible</c:v>
                </c:pt>
              </c:strCache>
            </c:strRef>
          </c:tx>
          <c:spPr>
            <a:solidFill>
              <a:schemeClr val="bg2"/>
            </a:solidFill>
            <a:ln>
              <a:noFill/>
            </a:ln>
            <a:effectLst/>
          </c:spPr>
          <c:invertIfNegative val="0"/>
          <c:dLbls>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Australia</c:v>
                </c:pt>
                <c:pt idx="1">
                  <c:v>Japan</c:v>
                </c:pt>
                <c:pt idx="2">
                  <c:v>Canada</c:v>
                </c:pt>
                <c:pt idx="3">
                  <c:v>New Zealand</c:v>
                </c:pt>
                <c:pt idx="4">
                  <c:v>Italy</c:v>
                </c:pt>
                <c:pt idx="5">
                  <c:v>Hawaii</c:v>
                </c:pt>
                <c:pt idx="6">
                  <c:v>Thailand</c:v>
                </c:pt>
              </c:strCache>
            </c:strRef>
          </c:cat>
          <c:val>
            <c:numRef>
              <c:f>Sheet1!$E$2:$E$8</c:f>
              <c:numCache>
                <c:formatCode>General</c:formatCode>
                <c:ptCount val="7"/>
                <c:pt idx="0">
                  <c:v>37</c:v>
                </c:pt>
                <c:pt idx="1">
                  <c:v>41</c:v>
                </c:pt>
                <c:pt idx="2">
                  <c:v>41</c:v>
                </c:pt>
                <c:pt idx="3">
                  <c:v>41</c:v>
                </c:pt>
                <c:pt idx="4">
                  <c:v>40</c:v>
                </c:pt>
                <c:pt idx="5">
                  <c:v>40</c:v>
                </c:pt>
                <c:pt idx="6">
                  <c:v>35</c:v>
                </c:pt>
              </c:numCache>
            </c:numRef>
          </c:val>
          <c:extLst>
            <c:ext xmlns:c16="http://schemas.microsoft.com/office/drawing/2014/chart" uri="{C3380CC4-5D6E-409C-BE32-E72D297353CC}">
              <c16:uniqueId val="{00000003-62A4-4676-B434-11245D374BF1}"/>
            </c:ext>
          </c:extLst>
        </c:ser>
        <c:ser>
          <c:idx val="4"/>
          <c:order val="4"/>
          <c:tx>
            <c:strRef>
              <c:f>Sheet1!$F$1</c:f>
              <c:strCache>
                <c:ptCount val="1"/>
                <c:pt idx="0">
                  <c:v>Extremely accessible</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197"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Australia</c:v>
                </c:pt>
                <c:pt idx="1">
                  <c:v>Japan</c:v>
                </c:pt>
                <c:pt idx="2">
                  <c:v>Canada</c:v>
                </c:pt>
                <c:pt idx="3">
                  <c:v>New Zealand</c:v>
                </c:pt>
                <c:pt idx="4">
                  <c:v>Italy</c:v>
                </c:pt>
                <c:pt idx="5">
                  <c:v>Hawaii</c:v>
                </c:pt>
                <c:pt idx="6">
                  <c:v>Thailand</c:v>
                </c:pt>
              </c:strCache>
            </c:strRef>
          </c:cat>
          <c:val>
            <c:numRef>
              <c:f>Sheet1!$F$2:$F$8</c:f>
              <c:numCache>
                <c:formatCode>General</c:formatCode>
                <c:ptCount val="7"/>
                <c:pt idx="0">
                  <c:v>44</c:v>
                </c:pt>
                <c:pt idx="1">
                  <c:v>39</c:v>
                </c:pt>
                <c:pt idx="2">
                  <c:v>38</c:v>
                </c:pt>
                <c:pt idx="3">
                  <c:v>38</c:v>
                </c:pt>
                <c:pt idx="4">
                  <c:v>29</c:v>
                </c:pt>
                <c:pt idx="5">
                  <c:v>27</c:v>
                </c:pt>
                <c:pt idx="6">
                  <c:v>28</c:v>
                </c:pt>
              </c:numCache>
            </c:numRef>
          </c:val>
          <c:extLst>
            <c:ext xmlns:c16="http://schemas.microsoft.com/office/drawing/2014/chart" uri="{C3380CC4-5D6E-409C-BE32-E72D297353CC}">
              <c16:uniqueId val="{00000004-62A4-4676-B434-11245D374BF1}"/>
            </c:ext>
          </c:extLst>
        </c:ser>
        <c:dLbls>
          <c:dLblPos val="ctr"/>
          <c:showLegendKey val="0"/>
          <c:showVal val="1"/>
          <c:showCatName val="0"/>
          <c:showSerName val="0"/>
          <c:showPercent val="0"/>
          <c:showBubbleSize val="0"/>
        </c:dLbls>
        <c:gapWidth val="100"/>
        <c:overlap val="100"/>
        <c:axId val="196382591"/>
        <c:axId val="196390271"/>
      </c:barChart>
      <c:catAx>
        <c:axId val="196382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96390271"/>
        <c:crosses val="autoZero"/>
        <c:auto val="1"/>
        <c:lblAlgn val="ctr"/>
        <c:lblOffset val="100"/>
        <c:noMultiLvlLbl val="0"/>
      </c:catAx>
      <c:valAx>
        <c:axId val="196390271"/>
        <c:scaling>
          <c:orientation val="minMax"/>
        </c:scaling>
        <c:delete val="1"/>
        <c:axPos val="l"/>
        <c:numFmt formatCode="0%" sourceLinked="1"/>
        <c:majorTickMark val="none"/>
        <c:minorTickMark val="none"/>
        <c:tickLblPos val="nextTo"/>
        <c:crossAx val="196382591"/>
        <c:crosses val="autoZero"/>
        <c:crossBetween val="between"/>
      </c:valAx>
      <c:spPr>
        <a:noFill/>
        <a:ln>
          <a:noFill/>
        </a:ln>
        <a:effectLst/>
      </c:spPr>
    </c:plotArea>
    <c:legend>
      <c:legendPos val="l"/>
      <c:layout>
        <c:manualLayout>
          <c:xMode val="edge"/>
          <c:yMode val="edge"/>
          <c:x val="1.0149573005332521E-2"/>
          <c:y val="0.15076115485564301"/>
          <c:w val="0.26277337748353191"/>
          <c:h val="0.6205553851223142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Austrade Brand Theme">
  <a:themeElements>
    <a:clrScheme name="Austrade Brand theme">
      <a:dk1>
        <a:srgbClr val="000000"/>
      </a:dk1>
      <a:lt1>
        <a:srgbClr val="FFFFFF"/>
      </a:lt1>
      <a:dk2>
        <a:srgbClr val="300050"/>
      </a:dk2>
      <a:lt2>
        <a:srgbClr val="893B94"/>
      </a:lt2>
      <a:accent1>
        <a:srgbClr val="893B94"/>
      </a:accent1>
      <a:accent2>
        <a:srgbClr val="300050"/>
      </a:accent2>
      <a:accent3>
        <a:srgbClr val="E3E1DB"/>
      </a:accent3>
      <a:accent4>
        <a:srgbClr val="C78570"/>
      </a:accent4>
      <a:accent5>
        <a:srgbClr val="D2C3BE"/>
      </a:accent5>
      <a:accent6>
        <a:srgbClr val="C7A5FF"/>
      </a:accent6>
      <a:hlink>
        <a:srgbClr val="000000"/>
      </a:hlink>
      <a:folHlink>
        <a:srgbClr val="000000"/>
      </a:folHlink>
    </a:clrScheme>
    <a:fontScheme name="Verdana">
      <a:majorFont>
        <a:latin typeface="Verdana"/>
        <a:ea typeface=""/>
        <a:cs typeface=""/>
      </a:majorFont>
      <a:minorFont>
        <a:latin typeface="Verdana"/>
        <a:ea typeface=""/>
        <a:cs typeface=""/>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ustrade Brand Theme" id="{B7B3077C-12EC-4E43-A7AB-503D32ACE655}" vid="{FE9A3E5A-5EFE-412F-BA99-1D3D9BDE5E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4193d32-96af-42bb-9a8d-e389b6b013dc">
      <Terms xmlns="http://schemas.microsoft.com/office/infopath/2007/PartnerControls"/>
    </lcf76f155ced4ddcb4097134ff3c332f>
    <TaxCatchAll xmlns="932d29ee-28c9-41bc-b9e4-7f2eba331d2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CE59075CB8AAE4281923CD804FF4F41" ma:contentTypeVersion="18" ma:contentTypeDescription="Create a new document." ma:contentTypeScope="" ma:versionID="66fe7816eb518ad386b95b1a3cc7f7ad">
  <xsd:schema xmlns:xsd="http://www.w3.org/2001/XMLSchema" xmlns:xs="http://www.w3.org/2001/XMLSchema" xmlns:p="http://schemas.microsoft.com/office/2006/metadata/properties" xmlns:ns2="84193d32-96af-42bb-9a8d-e389b6b013dc" xmlns:ns3="932d29ee-28c9-41bc-b9e4-7f2eba331d28" targetNamespace="http://schemas.microsoft.com/office/2006/metadata/properties" ma:root="true" ma:fieldsID="a6ccc5dc2d543b47127149831d2e33f9" ns2:_="" ns3:_="">
    <xsd:import namespace="84193d32-96af-42bb-9a8d-e389b6b013dc"/>
    <xsd:import namespace="932d29ee-28c9-41bc-b9e4-7f2eba331d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193d32-96af-42bb-9a8d-e389b6b013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2d29ee-28c9-41bc-b9e4-7f2eba331d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0bbb1a7-ebd1-464a-bd5b-b0b856b08cda}" ma:internalName="TaxCatchAll" ma:showField="CatchAllData" ma:web="932d29ee-28c9-41bc-b9e4-7f2eba331d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ABF944-022C-4692-9B43-06A2CEB685A9}">
  <ds:schemaRefs>
    <ds:schemaRef ds:uri="http://schemas.openxmlformats.org/officeDocument/2006/bibliography"/>
  </ds:schemaRefs>
</ds:datastoreItem>
</file>

<file path=customXml/itemProps2.xml><?xml version="1.0" encoding="utf-8"?>
<ds:datastoreItem xmlns:ds="http://schemas.openxmlformats.org/officeDocument/2006/customXml" ds:itemID="{38FE75B8-1135-4512-93FA-FCDD832F13E7}">
  <ds:schemaRefs>
    <ds:schemaRef ds:uri="http://schemas.microsoft.com/office/2006/metadata/properties"/>
    <ds:schemaRef ds:uri="http://schemas.microsoft.com/office/infopath/2007/PartnerControls"/>
    <ds:schemaRef ds:uri="84193d32-96af-42bb-9a8d-e389b6b013dc"/>
    <ds:schemaRef ds:uri="932d29ee-28c9-41bc-b9e4-7f2eba331d28"/>
  </ds:schemaRefs>
</ds:datastoreItem>
</file>

<file path=customXml/itemProps3.xml><?xml version="1.0" encoding="utf-8"?>
<ds:datastoreItem xmlns:ds="http://schemas.openxmlformats.org/officeDocument/2006/customXml" ds:itemID="{1EFDA419-6733-483D-ABCC-A84EEDE3704E}">
  <ds:schemaRefs>
    <ds:schemaRef ds:uri="http://schemas.microsoft.com/sharepoint/v3/contenttype/forms"/>
  </ds:schemaRefs>
</ds:datastoreItem>
</file>

<file path=customXml/itemProps4.xml><?xml version="1.0" encoding="utf-8"?>
<ds:datastoreItem xmlns:ds="http://schemas.openxmlformats.org/officeDocument/2006/customXml" ds:itemID="{4DF57951-5651-4C24-8030-A5805D93B6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193d32-96af-42bb-9a8d-e389b6b013dc"/>
    <ds:schemaRef ds:uri="932d29ee-28c9-41bc-b9e4-7f2eba331d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TRA Website Publications.dotx</Template>
  <TotalTime>6</TotalTime>
  <Pages>31</Pages>
  <Words>5277</Words>
  <Characters>30082</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Austrade</Company>
  <LinksUpToDate>false</LinksUpToDate>
  <CharactersWithSpaces>35289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Accessible Tourism 2024</dc:title>
  <dc:subject/>
  <dc:creator>Rachel-Sirr [Canberra]</dc:creator>
  <cp:keywords/>
  <dc:description/>
  <cp:lastModifiedBy>Steve-Hibbins [Adelaide]</cp:lastModifiedBy>
  <cp:revision>8</cp:revision>
  <dcterms:created xsi:type="dcterms:W3CDTF">2025-07-23T06:28:00Z</dcterms:created>
  <dcterms:modified xsi:type="dcterms:W3CDTF">2025-07-23T06:39:00Z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0x010100BCE59075CB8AAE4281923CD804FF4F41</vt:lpwstr>
  </property>
  <property fmtid="{D5CDD505-2E9C-101B-9397-08002B2CF9AE}" pid="3" name="_dlc_DocIdItemGuid">
    <vt:lpwstr>4acab650-90ea-4c96-82d3-d25f388868f0</vt:lpwstr>
  </property>
  <property fmtid="{D5CDD505-2E9C-101B-9397-08002B2CF9AE}" pid="4" name="Protective Markings">
    <vt:lpwstr/>
  </property>
  <property fmtid="{D5CDD505-2E9C-101B-9397-08002B2CF9AE}" pid="5" name="xd_Signature">
    <vt:bool>false</vt:bool>
  </property>
  <property fmtid="{D5CDD505-2E9C-101B-9397-08002B2CF9AE}" pid="6" name="Record ID">
    <vt:lpwstr/>
  </property>
  <property fmtid="{D5CDD505-2E9C-101B-9397-08002B2CF9AE}" pid="7" name="xd_ProgID">
    <vt:lpwstr/>
  </property>
  <property fmtid="{D5CDD505-2E9C-101B-9397-08002B2CF9AE}" pid="8" name="TemplateUrl">
    <vt:lpwstr/>
  </property>
  <property fmtid="{D5CDD505-2E9C-101B-9397-08002B2CF9AE}" pid="9" name="GUID">
    <vt:lpwstr>8f577bd8-767e-41f9-a258-256104b23156</vt:lpwstr>
  </property>
  <property fmtid="{D5CDD505-2E9C-101B-9397-08002B2CF9AE}" pid="10" name="ComplianceAssetId">
    <vt:lpwstr/>
  </property>
  <property fmtid="{D5CDD505-2E9C-101B-9397-08002B2CF9AE}" pid="11" name="_ExtendedDescription">
    <vt:lpwstr/>
  </property>
  <property fmtid="{D5CDD505-2E9C-101B-9397-08002B2CF9AE}" pid="12" name="TriggerFlowInfo">
    <vt:lpwstr/>
  </property>
  <property fmtid="{D5CDD505-2E9C-101B-9397-08002B2CF9AE}" pid="13" name="Tradestart-Access">
    <vt:bool>false</vt:bool>
  </property>
  <property fmtid="{D5CDD505-2E9C-101B-9397-08002B2CF9AE}" pid="14" name="PublishingStartDate">
    <vt:lpwstr/>
  </property>
  <property fmtid="{D5CDD505-2E9C-101B-9397-08002B2CF9AE}" pid="15" name="TaxCatchAll">
    <vt:lpwstr/>
  </property>
  <property fmtid="{D5CDD505-2E9C-101B-9397-08002B2CF9AE}" pid="16" name="Operational-Site-Doc-URL">
    <vt:lpwstr/>
  </property>
  <property fmtid="{D5CDD505-2E9C-101B-9397-08002B2CF9AE}" pid="17" name="PublishingExpirationDate">
    <vt:lpwstr/>
  </property>
  <property fmtid="{D5CDD505-2E9C-101B-9397-08002B2CF9AE}" pid="18" name="Operational-Doc-Desc">
    <vt:lpwstr/>
  </property>
  <property fmtid="{D5CDD505-2E9C-101B-9397-08002B2CF9AE}" pid="19" name="nf7721a2bf6741678a34670e75d66499">
    <vt:lpwstr/>
  </property>
  <property fmtid="{D5CDD505-2E9C-101B-9397-08002B2CF9AE}" pid="20" name="MediaServiceImageTags">
    <vt:lpwstr/>
  </property>
  <property fmtid="{D5CDD505-2E9C-101B-9397-08002B2CF9AE}" pid="21" name="ClassificationContentMarkingHeaderShapeIds">
    <vt:lpwstr>1a1a6581,41aad987,1ce2a4d6,7c37c8bf,68f667d5,3f6b22ee</vt:lpwstr>
  </property>
  <property fmtid="{D5CDD505-2E9C-101B-9397-08002B2CF9AE}" pid="22" name="ClassificationContentMarkingHeaderFontProps">
    <vt:lpwstr>#ff0000,12,Calibri</vt:lpwstr>
  </property>
  <property fmtid="{D5CDD505-2E9C-101B-9397-08002B2CF9AE}" pid="23" name="ClassificationContentMarkingHeaderText">
    <vt:lpwstr>OFFICIAL</vt:lpwstr>
  </property>
  <property fmtid="{D5CDD505-2E9C-101B-9397-08002B2CF9AE}" pid="24" name="ClassificationContentMarkingFooterShapeIds">
    <vt:lpwstr>6d417f4a,632e275c,393106e3,2b4f1f14,230e1872,7a93c59e</vt:lpwstr>
  </property>
  <property fmtid="{D5CDD505-2E9C-101B-9397-08002B2CF9AE}" pid="25" name="ClassificationContentMarkingFooterFontProps">
    <vt:lpwstr>#ff0000,12,Calibri</vt:lpwstr>
  </property>
  <property fmtid="{D5CDD505-2E9C-101B-9397-08002B2CF9AE}" pid="26" name="ClassificationContentMarkingFooterText">
    <vt:lpwstr>OFFICIAL</vt:lpwstr>
  </property>
  <property fmtid="{D5CDD505-2E9C-101B-9397-08002B2CF9AE}" pid="27" name="MSIP_Label_72160a83-df68-4146-9dd5-ccaae79426db_Enabled">
    <vt:lpwstr>true</vt:lpwstr>
  </property>
  <property fmtid="{D5CDD505-2E9C-101B-9397-08002B2CF9AE}" pid="28" name="MSIP_Label_72160a83-df68-4146-9dd5-ccaae79426db_SetDate">
    <vt:lpwstr>2024-11-07T01:54:51Z</vt:lpwstr>
  </property>
  <property fmtid="{D5CDD505-2E9C-101B-9397-08002B2CF9AE}" pid="29" name="MSIP_Label_72160a83-df68-4146-9dd5-ccaae79426db_Method">
    <vt:lpwstr>Privileged</vt:lpwstr>
  </property>
  <property fmtid="{D5CDD505-2E9C-101B-9397-08002B2CF9AE}" pid="30" name="MSIP_Label_72160a83-df68-4146-9dd5-ccaae79426db_Name">
    <vt:lpwstr>OFFICIAL</vt:lpwstr>
  </property>
  <property fmtid="{D5CDD505-2E9C-101B-9397-08002B2CF9AE}" pid="31" name="MSIP_Label_72160a83-df68-4146-9dd5-ccaae79426db_SiteId">
    <vt:lpwstr>c6ba7d27-a97a-40a4-82e4-4d23131de9f4</vt:lpwstr>
  </property>
  <property fmtid="{D5CDD505-2E9C-101B-9397-08002B2CF9AE}" pid="32" name="MSIP_Label_72160a83-df68-4146-9dd5-ccaae79426db_ActionId">
    <vt:lpwstr>9abcf624-2f2c-47b4-897c-8e1b073690df</vt:lpwstr>
  </property>
  <property fmtid="{D5CDD505-2E9C-101B-9397-08002B2CF9AE}" pid="33" name="MSIP_Label_72160a83-df68-4146-9dd5-ccaae79426db_ContentBits">
    <vt:lpwstr>3</vt:lpwstr>
  </property>
</Properties>
</file>